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57791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СЕЛЬСОВЕТ»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ПРИВОЛЖСКОГО </w:t>
      </w:r>
      <w:proofErr w:type="gramStart"/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РАЙОНА  АСТРАХАНСКОЙ</w:t>
      </w:r>
      <w:proofErr w:type="gramEnd"/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ОБЛАСТИ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</w:t>
      </w:r>
    </w:p>
    <w:p w:rsidR="001A59A0" w:rsidRDefault="007E62F2" w:rsidP="00C208C0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от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«30</w:t>
      </w:r>
      <w:r w:rsidR="00D22BB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C208C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22BB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декабря </w:t>
      </w:r>
      <w:r w:rsidR="00C208C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D22BB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525CFC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г. </w:t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0E3A1A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№</w:t>
      </w:r>
      <w:r w:rsidR="001A59A0">
        <w:rPr>
          <w:rFonts w:ascii="Arial" w:hAnsi="Arial" w:cs="Arial"/>
          <w:b w:val="0"/>
          <w:color w:val="000000" w:themeColor="text1"/>
          <w:sz w:val="24"/>
          <w:szCs w:val="24"/>
        </w:rPr>
        <w:t>83</w:t>
      </w:r>
      <w:r w:rsidR="000E3A1A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с. </w:t>
      </w:r>
      <w:r w:rsidR="00577910" w:rsidRPr="00D22BB0">
        <w:rPr>
          <w:rFonts w:ascii="Arial" w:hAnsi="Arial" w:cs="Arial"/>
          <w:b w:val="0"/>
          <w:color w:val="000000" w:themeColor="text1"/>
          <w:sz w:val="24"/>
          <w:szCs w:val="24"/>
        </w:rPr>
        <w:t>Килинчи</w:t>
      </w:r>
    </w:p>
    <w:p w:rsidR="00F615D5" w:rsidRPr="00D22BB0" w:rsidRDefault="00F615D5" w:rsidP="00C208C0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615D5" w:rsidRPr="00D22BB0" w:rsidRDefault="00707EAF" w:rsidP="00C208C0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«О внесении изменений в муниципальную программу</w:t>
      </w:r>
      <w:r w:rsidR="00CA2FE1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F96564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C208C0" w:rsidRPr="00D22BB0" w:rsidRDefault="00C208C0" w:rsidP="00C208C0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 xml:space="preserve"> ст. 81 </w:t>
      </w:r>
      <w:r w:rsidR="00C208C0" w:rsidRPr="00D22BB0">
        <w:rPr>
          <w:rFonts w:ascii="Arial" w:hAnsi="Arial" w:cs="Arial"/>
          <w:color w:val="000000"/>
          <w:sz w:val="24"/>
          <w:szCs w:val="24"/>
        </w:rPr>
        <w:t>Бюджетного кодекса Российской Федерации</w:t>
      </w:r>
      <w:r w:rsidR="000E3A1A" w:rsidRPr="00D22BB0">
        <w:rPr>
          <w:rFonts w:ascii="Arial" w:hAnsi="Arial" w:cs="Arial"/>
          <w:color w:val="000000"/>
          <w:sz w:val="24"/>
          <w:szCs w:val="24"/>
        </w:rPr>
        <w:t>,</w:t>
      </w:r>
      <w:r w:rsidR="00C208C0" w:rsidRPr="00D22B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C208C0" w:rsidRPr="00D22BB0">
        <w:rPr>
          <w:rFonts w:ascii="Arial" w:hAnsi="Arial" w:cs="Arial"/>
          <w:bCs/>
          <w:color w:val="000000" w:themeColor="text1"/>
          <w:sz w:val="24"/>
          <w:szCs w:val="24"/>
        </w:rPr>
        <w:t>Уставом муниципального образования «Килинчинский сельсовет»</w:t>
      </w: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22BB0" w:rsidRPr="00D22BB0">
        <w:rPr>
          <w:rFonts w:ascii="Arial" w:hAnsi="Arial" w:cs="Arial"/>
          <w:color w:val="000000" w:themeColor="text1"/>
          <w:sz w:val="24"/>
          <w:szCs w:val="24"/>
        </w:rPr>
        <w:t>У</w:t>
      </w:r>
      <w:r w:rsidR="00707EAF" w:rsidRPr="00D22BB0">
        <w:rPr>
          <w:rFonts w:ascii="Arial" w:hAnsi="Arial" w:cs="Arial"/>
          <w:color w:val="000000" w:themeColor="text1"/>
          <w:sz w:val="24"/>
          <w:szCs w:val="24"/>
        </w:rPr>
        <w:t>твердить в новой редакции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25F7" w:rsidRPr="00D22BB0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программу 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>согласно приложению.</w:t>
      </w:r>
    </w:p>
    <w:p w:rsidR="00F615D5" w:rsidRPr="00D22BB0" w:rsidRDefault="00F615D5" w:rsidP="00C208C0">
      <w:pPr>
        <w:spacing w:line="276" w:lineRule="auto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2. Обнародовать настоящее постановление путем:</w:t>
      </w:r>
    </w:p>
    <w:p w:rsidR="00F615D5" w:rsidRPr="00D22BB0" w:rsidRDefault="00F615D5" w:rsidP="00C208C0">
      <w:pPr>
        <w:spacing w:line="276" w:lineRule="auto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F615D5" w:rsidRPr="00D22BB0" w:rsidRDefault="00F615D5" w:rsidP="00C208C0">
      <w:pPr>
        <w:spacing w:line="276" w:lineRule="auto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D22BB0" w:rsidRDefault="00F615D5" w:rsidP="00C208C0">
      <w:pPr>
        <w:spacing w:line="276" w:lineRule="auto"/>
        <w:ind w:left="851" w:firstLine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D22BB0" w:rsidRDefault="006264DF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D22BB0" w:rsidRDefault="006264DF" w:rsidP="00C208C0">
      <w:pPr>
        <w:spacing w:line="276" w:lineRule="auto"/>
        <w:ind w:left="851"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C208C0">
      <w:pPr>
        <w:spacing w:line="276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F615D5" w:rsidRPr="00D22BB0" w:rsidRDefault="00F615D5" w:rsidP="00C208C0">
      <w:pPr>
        <w:spacing w:line="276" w:lineRule="auto"/>
        <w:ind w:left="851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образования</w:t>
      </w:r>
    </w:p>
    <w:p w:rsidR="00F615D5" w:rsidRPr="00D22BB0" w:rsidRDefault="00F615D5" w:rsidP="00C208C0">
      <w:pPr>
        <w:spacing w:line="276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сельсовет»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Л.А. Ахмедова</w:t>
      </w:r>
    </w:p>
    <w:p w:rsidR="00C208C0" w:rsidRPr="00D22BB0" w:rsidRDefault="00F615D5" w:rsidP="00C208C0">
      <w:pPr>
        <w:spacing w:line="276" w:lineRule="auto"/>
        <w:ind w:left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D22BB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УТВЕРЖДЕНО          </w:t>
      </w:r>
    </w:p>
    <w:p w:rsidR="00C36806" w:rsidRDefault="00F615D5" w:rsidP="00C36806">
      <w:pPr>
        <w:spacing w:line="276" w:lineRule="auto"/>
        <w:ind w:left="623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</w:p>
    <w:p w:rsidR="00C36806" w:rsidRDefault="00C36806" w:rsidP="00C36806">
      <w:pPr>
        <w:spacing w:line="276" w:lineRule="auto"/>
        <w:ind w:left="4962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</w:p>
    <w:p w:rsidR="00C36806" w:rsidRDefault="00C36806" w:rsidP="00C36806">
      <w:pPr>
        <w:spacing w:line="276" w:lineRule="auto"/>
        <w:ind w:left="4962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«Килинчинский сельсовет»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15D5" w:rsidRPr="00D22BB0" w:rsidRDefault="00C208C0" w:rsidP="00C208C0">
      <w:pPr>
        <w:spacing w:line="276" w:lineRule="auto"/>
        <w:ind w:left="6237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="00C368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62F2">
        <w:rPr>
          <w:rFonts w:ascii="Arial" w:hAnsi="Arial" w:cs="Arial"/>
          <w:color w:val="000000" w:themeColor="text1"/>
          <w:sz w:val="24"/>
          <w:szCs w:val="24"/>
        </w:rPr>
        <w:t>«30</w:t>
      </w:r>
      <w:r w:rsidR="00D22BB0" w:rsidRPr="00D22BB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7E62F2">
        <w:rPr>
          <w:rFonts w:ascii="Arial" w:hAnsi="Arial" w:cs="Arial"/>
          <w:color w:val="000000" w:themeColor="text1"/>
          <w:sz w:val="24"/>
          <w:szCs w:val="24"/>
        </w:rPr>
        <w:t xml:space="preserve"> декабря </w:t>
      </w:r>
      <w:r w:rsidR="00D22BB0" w:rsidRPr="00D22BB0">
        <w:rPr>
          <w:rFonts w:ascii="Arial" w:hAnsi="Arial" w:cs="Arial"/>
          <w:color w:val="000000" w:themeColor="text1"/>
          <w:sz w:val="24"/>
          <w:szCs w:val="24"/>
        </w:rPr>
        <w:t>202</w:t>
      </w:r>
      <w:r w:rsidR="00C36806">
        <w:rPr>
          <w:rFonts w:ascii="Arial" w:hAnsi="Arial" w:cs="Arial"/>
          <w:color w:val="000000" w:themeColor="text1"/>
          <w:sz w:val="24"/>
          <w:szCs w:val="24"/>
        </w:rPr>
        <w:t>0г. №83</w:t>
      </w: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1525F7" w:rsidP="00F615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F615D5" w:rsidRPr="00D22BB0">
        <w:rPr>
          <w:rFonts w:ascii="Arial" w:hAnsi="Arial" w:cs="Arial"/>
          <w:color w:val="000000" w:themeColor="text1"/>
          <w:sz w:val="24"/>
          <w:szCs w:val="24"/>
        </w:rPr>
        <w:t xml:space="preserve">  ПРОГРАММА</w:t>
      </w:r>
      <w:proofErr w:type="gramEnd"/>
    </w:p>
    <w:p w:rsidR="008C76E8" w:rsidRPr="00D22BB0" w:rsidRDefault="008C76E8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76E8" w:rsidRPr="00D22BB0" w:rsidRDefault="008C76E8" w:rsidP="008C76E8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8C76E8" w:rsidP="008C76E8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F96564" w:rsidRPr="00D22BB0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08C0" w:rsidRPr="00D22BB0" w:rsidRDefault="00C208C0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C208C0" w:rsidRPr="00D22BB0" w:rsidRDefault="00C208C0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C208C0" w:rsidRPr="00D22BB0" w:rsidRDefault="00C208C0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C208C0" w:rsidRPr="00D22BB0" w:rsidRDefault="00C208C0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D22BB0" w:rsidRDefault="00F615D5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D22BB0">
        <w:rPr>
          <w:rFonts w:ascii="Arial" w:hAnsi="Arial" w:cs="Arial"/>
          <w:color w:val="000000" w:themeColor="text1"/>
        </w:rPr>
        <w:t xml:space="preserve">с. </w:t>
      </w:r>
      <w:r w:rsidR="00577910" w:rsidRPr="00D22BB0">
        <w:rPr>
          <w:rFonts w:ascii="Arial" w:hAnsi="Arial" w:cs="Arial"/>
          <w:color w:val="000000" w:themeColor="text1"/>
        </w:rPr>
        <w:t>Килинчи</w:t>
      </w:r>
    </w:p>
    <w:p w:rsidR="00F615D5" w:rsidRPr="00D22BB0" w:rsidRDefault="00D22BB0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D22BB0">
        <w:rPr>
          <w:rFonts w:ascii="Arial" w:hAnsi="Arial" w:cs="Arial"/>
          <w:color w:val="000000" w:themeColor="text1"/>
        </w:rPr>
        <w:t>2021</w:t>
      </w:r>
      <w:r w:rsidR="00F615D5" w:rsidRPr="00D22BB0">
        <w:rPr>
          <w:rFonts w:ascii="Arial" w:hAnsi="Arial" w:cs="Arial"/>
          <w:color w:val="000000" w:themeColor="text1"/>
        </w:rPr>
        <w:t xml:space="preserve"> год</w:t>
      </w:r>
    </w:p>
    <w:p w:rsidR="008C76E8" w:rsidRPr="00D22BB0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A1A" w:rsidRPr="00D22BB0" w:rsidRDefault="000F3EDF" w:rsidP="000E3A1A">
      <w:pPr>
        <w:spacing w:before="100" w:beforeAutospacing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Ведомственная</w:t>
      </w:r>
      <w:r w:rsidR="00810DB9" w:rsidRPr="00D22BB0">
        <w:rPr>
          <w:rFonts w:ascii="Arial" w:hAnsi="Arial" w:cs="Arial"/>
          <w:color w:val="000000" w:themeColor="text1"/>
          <w:sz w:val="24"/>
          <w:szCs w:val="24"/>
        </w:rPr>
        <w:t xml:space="preserve"> целев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>ая программа</w:t>
      </w:r>
      <w:r w:rsidR="00810DB9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76E8" w:rsidRPr="00D22BB0">
        <w:rPr>
          <w:rFonts w:ascii="Arial" w:hAnsi="Arial" w:cs="Arial"/>
          <w:color w:val="000000" w:themeColor="text1"/>
          <w:sz w:val="24"/>
          <w:szCs w:val="24"/>
        </w:rPr>
        <w:t xml:space="preserve">"Эффективное управление муниципальными финансами и повышение устойчивости бюджета </w:t>
      </w:r>
    </w:p>
    <w:p w:rsidR="0036683B" w:rsidRPr="00D22BB0" w:rsidRDefault="008C76E8" w:rsidP="000E3A1A">
      <w:pPr>
        <w:spacing w:before="100" w:beforeAutospacing="1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образования "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404736" w:rsidRPr="00D22BB0" w:rsidRDefault="00810DB9" w:rsidP="00404736">
      <w:pPr>
        <w:pStyle w:val="a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736" w:rsidRPr="00D22BB0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73ADD" w:rsidRPr="00D22BB0">
        <w:rPr>
          <w:rFonts w:ascii="Arial" w:hAnsi="Arial" w:cs="Arial"/>
          <w:color w:val="000000" w:themeColor="text1"/>
          <w:sz w:val="24"/>
          <w:szCs w:val="24"/>
        </w:rPr>
        <w:t>П</w:t>
      </w:r>
      <w:r w:rsidR="00404736" w:rsidRPr="00D22BB0">
        <w:rPr>
          <w:rFonts w:ascii="Arial" w:hAnsi="Arial" w:cs="Arial"/>
          <w:color w:val="000000" w:themeColor="text1"/>
          <w:sz w:val="24"/>
          <w:szCs w:val="24"/>
        </w:rPr>
        <w:t>рограмма)</w:t>
      </w:r>
    </w:p>
    <w:p w:rsidR="00623E40" w:rsidRPr="00D22BB0" w:rsidRDefault="00C716D5" w:rsidP="00C716D5">
      <w:pPr>
        <w:spacing w:before="100" w:beforeAutospacing="1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623E40" w:rsidRPr="00D22BB0">
        <w:rPr>
          <w:rFonts w:ascii="Arial" w:hAnsi="Arial" w:cs="Arial"/>
          <w:bCs/>
          <w:color w:val="000000" w:themeColor="text1"/>
          <w:sz w:val="24"/>
          <w:szCs w:val="24"/>
        </w:rPr>
        <w:t xml:space="preserve">Паспорт программы </w:t>
      </w:r>
    </w:p>
    <w:p w:rsidR="00623E40" w:rsidRPr="00D22BB0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6764"/>
      </w:tblGrid>
      <w:tr w:rsidR="00C208C0" w:rsidRPr="00D22BB0" w:rsidTr="00C208C0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C208C0" w:rsidP="00C73A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C73ADD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="00BE70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ьного образования «</w:t>
            </w:r>
            <w:r w:rsidR="0057791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Килинчинский</w:t>
            </w:r>
            <w:r w:rsidR="00BE70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E70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сельсовет</w:t>
            </w:r>
            <w:r w:rsidR="00C73ADD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08C0" w:rsidRPr="00D22BB0" w:rsidTr="00C208C0">
        <w:trPr>
          <w:trHeight w:val="1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187523" w:rsidP="0067445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 Резервного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фонда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предназначен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финансирования непредвиденных расходов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, которые могут возникать в МО «Килинчинский сельсовет» для ликвидации чрезвычайных ситуаций. Также для обеспечения пожарной безопасности, восполнения резерва материальных ресурсов, оповещения населения об угрозе возникновения ЧС, для создания в целях гражданской обороны материально-технических запасов, продовольственных и медицинских средств.</w:t>
            </w:r>
          </w:p>
        </w:tc>
      </w:tr>
      <w:tr w:rsidR="00C208C0" w:rsidRPr="00D22BB0" w:rsidTr="00C208C0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и сроки            </w:t>
            </w:r>
          </w:p>
          <w:p w:rsidR="00623E40" w:rsidRPr="00D22BB0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программы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22BB0" w:rsidRDefault="00C73ADD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ограммы рассчитана на период 2022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- 20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08C0" w:rsidRPr="00D22BB0" w:rsidTr="00C208C0">
        <w:trPr>
          <w:trHeight w:val="1418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за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счет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средств местного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бюджета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всего, в том     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годам реализации</w:t>
            </w:r>
          </w:p>
          <w:p w:rsidR="00623E40" w:rsidRPr="00D22BB0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22BB0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программы за счет </w:t>
            </w: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  бюджета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0E63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прогнозно</w:t>
            </w:r>
            <w:proofErr w:type="spellEnd"/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составит   </w:t>
            </w:r>
            <w:r w:rsidR="00F9656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8C76E8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руб., в том числе по годам:                                          </w:t>
            </w:r>
          </w:p>
          <w:p w:rsidR="00623E40" w:rsidRPr="00D22BB0" w:rsidRDefault="000E3A1A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  </w:t>
            </w:r>
            <w:r w:rsidR="008C76E8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proofErr w:type="gramStart"/>
            <w:r w:rsidR="0067445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proofErr w:type="gramEnd"/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623E40" w:rsidRPr="00D22BB0" w:rsidRDefault="00D22BB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50,</w:t>
            </w: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39759C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</w:t>
            </w:r>
            <w:proofErr w:type="gramEnd"/>
            <w:r w:rsidR="00623E4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96564" w:rsidRPr="00D22BB0" w:rsidRDefault="00D22BB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  <w:r w:rsidR="00F96564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 – 50,0 тыс. руб.</w:t>
            </w:r>
          </w:p>
          <w:p w:rsidR="00F96564" w:rsidRPr="00D22BB0" w:rsidRDefault="00F96564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D22BB0"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 – 50,0 тыс. руб.</w:t>
            </w:r>
          </w:p>
          <w:p w:rsidR="00623E40" w:rsidRPr="00D22BB0" w:rsidRDefault="00623E40" w:rsidP="00914497">
            <w:pPr>
              <w:pStyle w:val="ConsPlusNormal"/>
              <w:ind w:firstLine="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cs="Arial"/>
                <w:color w:val="000000" w:themeColor="text1"/>
                <w:sz w:val="24"/>
                <w:szCs w:val="24"/>
              </w:rPr>
              <w:t xml:space="preserve">          Объемы бюджетного финансирования ежегодно </w:t>
            </w:r>
            <w:proofErr w:type="gramStart"/>
            <w:r w:rsidRPr="00D22BB0">
              <w:rPr>
                <w:rFonts w:cs="Arial"/>
                <w:color w:val="000000" w:themeColor="text1"/>
                <w:sz w:val="24"/>
                <w:szCs w:val="24"/>
              </w:rPr>
              <w:t>уточняются  в</w:t>
            </w:r>
            <w:proofErr w:type="gramEnd"/>
            <w:r w:rsidRPr="00D22BB0">
              <w:rPr>
                <w:rFonts w:cs="Arial"/>
                <w:color w:val="000000" w:themeColor="text1"/>
                <w:sz w:val="24"/>
                <w:szCs w:val="24"/>
              </w:rPr>
              <w:t xml:space="preserve">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C208C0" w:rsidRPr="00D22BB0" w:rsidTr="00C208C0">
        <w:trPr>
          <w:trHeight w:val="1597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D22BB0" w:rsidRDefault="00187523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    </w:t>
            </w:r>
          </w:p>
          <w:p w:rsidR="00187523" w:rsidRPr="00D22BB0" w:rsidRDefault="00187523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proofErr w:type="gramEnd"/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523" w:rsidRPr="00D22BB0" w:rsidRDefault="00674454" w:rsidP="0067445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2BB0">
              <w:rPr>
                <w:rFonts w:ascii="Arial" w:hAnsi="Arial" w:cs="Arial"/>
                <w:color w:val="000000" w:themeColor="text1"/>
                <w:sz w:val="24"/>
                <w:szCs w:val="24"/>
              </w:rPr>
              <w:t>100% обеспечение резервного фонда на обеспечение пожарной безопасности, восполнение резерва материальных ресурсов, оповещение населения об угрозе возникновения ЧС, для создания в целях гражданской обороны материально-технических запасов, продовольственных и медицинских средств.</w:t>
            </w:r>
          </w:p>
        </w:tc>
      </w:tr>
    </w:tbl>
    <w:p w:rsidR="00623E40" w:rsidRPr="00D22BB0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2F22" w:rsidRPr="00D22BB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Par469"/>
      <w:bookmarkEnd w:id="0"/>
    </w:p>
    <w:p w:rsidR="006C2F22" w:rsidRPr="00D22BB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C2F22" w:rsidRPr="00D22BB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74454" w:rsidRPr="00D22BB0" w:rsidRDefault="00674454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96564" w:rsidRPr="00D22BB0" w:rsidRDefault="00F96564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87523" w:rsidRPr="00D22BB0" w:rsidRDefault="00187523" w:rsidP="006C2F22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>Цели расходования средств резервного фонда</w:t>
      </w:r>
    </w:p>
    <w:p w:rsidR="006C2F22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фонда предназначены для финансирования непредвиденных расходов, не запланированных в районном бюджете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Выделение средств из резервного фонда производится на ликвидацию последствий чрезвычайных ситуаций, стихийных бедствий, эпидемий (далее – чрезвычайных ситуаций) межмуниципального характера. </w:t>
      </w:r>
    </w:p>
    <w:p w:rsidR="00187523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выделяются при условии недостаточности средств страховых, а также собственных средств организаций, находящихся в зонах чрезвычайных ситуаций, для ликвидации чрезвычайных ситуаций.</w:t>
      </w:r>
    </w:p>
    <w:p w:rsidR="00187523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фонда могут также выделяться и расходоваться на проведение первоочередных работ по предупреждению прогнозируемых чрезвычайных ситуаций межмуниципального характера. </w:t>
      </w:r>
    </w:p>
    <w:p w:rsidR="006C2F22" w:rsidRPr="00D22BB0" w:rsidRDefault="00187523" w:rsidP="00C208C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Средства резервного фонда могут расходоваться на финансирование следующих расходов по осуществлению неотложных мероприятий, при условии, что необходимые средства не были предусмотрены 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>при формировании проекта бюджета 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 на очередной финансовый </w:t>
      </w:r>
      <w:proofErr w:type="gramStart"/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>год  и</w:t>
      </w:r>
      <w:proofErr w:type="gramEnd"/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 xml:space="preserve"> на плановый период: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поисковых и аварийно-спасательных работ в зоне чрезвычайной ситуации;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неотложных аварийно-восстановительных работ на объектах жилищно-коммунального хозяйства,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социальной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сферы, 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энергетики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промышленности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транспорта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>, связи и сельского хозяйства, пострадавших в результате чрезвычайной ситуации;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закупку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>, доставку и кратковременное хранение материальных ресурсов для первоочередного жизнеобеспечения пострадавших граждан;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развертывание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и содержание временных пунктов проживания и питания для эвакуируемых пострадавших граждан в течение необходимого срока;</w:t>
      </w:r>
    </w:p>
    <w:p w:rsidR="006C2F22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оказание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материальной и единовременной помощи населению района из расчета на одного человека, оказавшегося в трудной жизненной ситуации и (или) пострадавшего в результате чрезвычайных ситуаций природного и техногенного характера в соответствии с порядком оказания материальной и единовременной помощи, утвержденным Главой 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6C2F22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  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проведение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неплановых мероприятий, встреч, симпозиумов, выставок, семинаров по проблемам общегосударственного и районного значения;</w:t>
      </w:r>
    </w:p>
    <w:p w:rsidR="00187523" w:rsidRPr="00D22BB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2BB0">
        <w:rPr>
          <w:rFonts w:ascii="Arial" w:hAnsi="Arial" w:cs="Arial"/>
          <w:color w:val="000000" w:themeColor="text1"/>
          <w:sz w:val="24"/>
          <w:szCs w:val="24"/>
        </w:rPr>
        <w:t>осуществление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иных непредвиденных расходов, не предусмотренных в бюджете на соответствующий год.</w:t>
      </w:r>
    </w:p>
    <w:p w:rsidR="00C208C0" w:rsidRPr="00D22BB0" w:rsidRDefault="00C208C0" w:rsidP="00C208C0">
      <w:pPr>
        <w:widowControl/>
        <w:autoSpaceDE/>
        <w:autoSpaceDN/>
        <w:adjustRightInd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187523" w:rsidRPr="00D22BB0" w:rsidRDefault="00187523" w:rsidP="00C208C0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>Порядок расходования средств резервного фонда</w:t>
      </w:r>
    </w:p>
    <w:p w:rsidR="007449A8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овета 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  </w:t>
      </w:r>
    </w:p>
    <w:p w:rsidR="007449A8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lastRenderedPageBreak/>
        <w:t>Средства резервн</w:t>
      </w:r>
      <w:r w:rsidR="00C208C0" w:rsidRPr="00D22BB0">
        <w:rPr>
          <w:rFonts w:ascii="Arial" w:hAnsi="Arial" w:cs="Arial"/>
          <w:color w:val="000000" w:themeColor="text1"/>
          <w:sz w:val="24"/>
          <w:szCs w:val="24"/>
        </w:rPr>
        <w:t xml:space="preserve">ого фонда могут предоставляться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органу, специально уполномоченному решать задачи гражданской обороны и задачи по предупреждению и ликвидации чрезвычайных ситуаций в 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 </w:t>
      </w:r>
      <w:proofErr w:type="gramStart"/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>образовании  «</w:t>
      </w:r>
      <w:proofErr w:type="gramEnd"/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7449A8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сельсовет».</w:t>
      </w:r>
    </w:p>
    <w:p w:rsidR="00187523" w:rsidRPr="00D22BB0" w:rsidRDefault="007449A8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523" w:rsidRPr="00D22BB0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подготовки проекта распоряжения Главы 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 xml:space="preserve">сельсовет» </w:t>
      </w:r>
      <w:r w:rsidR="00187523" w:rsidRPr="00D22BB0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proofErr w:type="gramEnd"/>
      <w:r w:rsidR="00187523" w:rsidRPr="00D22BB0">
        <w:rPr>
          <w:rFonts w:ascii="Arial" w:hAnsi="Arial" w:cs="Arial"/>
          <w:color w:val="000000" w:themeColor="text1"/>
          <w:sz w:val="24"/>
          <w:szCs w:val="24"/>
        </w:rPr>
        <w:t xml:space="preserve"> выделении средств из резервного фонда является протокол комиссии по рассмотрению обращения. </w:t>
      </w:r>
    </w:p>
    <w:p w:rsidR="00C208C0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предоставления денежных средств из резервного фонда является распоряжение Главы 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180A44" w:rsidRPr="00D22BB0">
        <w:rPr>
          <w:rFonts w:ascii="Arial" w:hAnsi="Arial" w:cs="Arial"/>
          <w:color w:val="000000" w:themeColor="text1"/>
          <w:sz w:val="24"/>
          <w:szCs w:val="24"/>
        </w:rPr>
        <w:t xml:space="preserve"> сельсовет».</w:t>
      </w:r>
    </w:p>
    <w:p w:rsidR="00C208C0" w:rsidRPr="00D22BB0" w:rsidRDefault="00C208C0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523" w:rsidRPr="00D22BB0" w:rsidRDefault="00187523" w:rsidP="00C208C0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bCs/>
          <w:color w:val="000000" w:themeColor="text1"/>
          <w:sz w:val="24"/>
          <w:szCs w:val="24"/>
        </w:rPr>
        <w:t>Контроль за расходованием средств резервного фонда и отчетность об их использовании.</w:t>
      </w:r>
    </w:p>
    <w:p w:rsidR="00F02CCC" w:rsidRPr="00D22BB0" w:rsidRDefault="00F02CCC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523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Контроль за целевым использованием средств резервного фонда осуществляется Администрацией 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сельсовет» 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>и главным распорядителем средств, которому средства были переданы.</w:t>
      </w:r>
    </w:p>
    <w:p w:rsidR="00187523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>Ответственность за нецелевое расходование средств резервного фонда несет получатель соответствующих средств резервного фонда в соответствии с законодательством Российской Федерации.</w:t>
      </w:r>
    </w:p>
    <w:p w:rsidR="00187523" w:rsidRPr="00D22BB0" w:rsidRDefault="00187523" w:rsidP="00C208C0">
      <w:pPr>
        <w:widowControl/>
        <w:autoSpaceDE/>
        <w:autoSpaceDN/>
        <w:adjustRightInd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Получатель денежных средств резервного фонда (за исключением физических лиц) предоставляет в Администрацию 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577910" w:rsidRPr="00D22BB0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34602" w:rsidRPr="00D22BB0">
        <w:rPr>
          <w:rFonts w:ascii="Arial" w:hAnsi="Arial" w:cs="Arial"/>
          <w:color w:val="000000" w:themeColor="text1"/>
          <w:sz w:val="24"/>
          <w:szCs w:val="24"/>
        </w:rPr>
        <w:t xml:space="preserve">сельсовет»  </w:t>
      </w:r>
      <w:r w:rsidRPr="00D22BB0">
        <w:rPr>
          <w:rFonts w:ascii="Arial" w:hAnsi="Arial" w:cs="Arial"/>
          <w:color w:val="000000" w:themeColor="text1"/>
          <w:sz w:val="24"/>
          <w:szCs w:val="24"/>
        </w:rPr>
        <w:t>отчетность</w:t>
      </w:r>
      <w:proofErr w:type="gramEnd"/>
      <w:r w:rsidRPr="00D22BB0">
        <w:rPr>
          <w:rFonts w:ascii="Arial" w:hAnsi="Arial" w:cs="Arial"/>
          <w:color w:val="000000" w:themeColor="text1"/>
          <w:sz w:val="24"/>
          <w:szCs w:val="24"/>
        </w:rPr>
        <w:t xml:space="preserve"> об использовании указанных средств.</w:t>
      </w:r>
    </w:p>
    <w:p w:rsidR="002A1148" w:rsidRPr="00D22BB0" w:rsidRDefault="00623E40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  <w:r w:rsidRPr="00D22BB0">
        <w:rPr>
          <w:rFonts w:cs="Arial"/>
          <w:color w:val="000000" w:themeColor="text1"/>
          <w:sz w:val="24"/>
          <w:szCs w:val="24"/>
        </w:rPr>
        <w:t xml:space="preserve">Объемы бюджетного финансирования ежегодно </w:t>
      </w:r>
      <w:proofErr w:type="gramStart"/>
      <w:r w:rsidRPr="00D22BB0">
        <w:rPr>
          <w:rFonts w:cs="Arial"/>
          <w:color w:val="000000" w:themeColor="text1"/>
          <w:sz w:val="24"/>
          <w:szCs w:val="24"/>
        </w:rPr>
        <w:t>уточняются  в</w:t>
      </w:r>
      <w:proofErr w:type="gramEnd"/>
      <w:r w:rsidRPr="00D22BB0">
        <w:rPr>
          <w:rFonts w:cs="Arial"/>
          <w:color w:val="000000" w:themeColor="text1"/>
          <w:sz w:val="24"/>
          <w:szCs w:val="24"/>
        </w:rPr>
        <w:t xml:space="preserve"> установленном порядке  в процессе исполнения бюджета поселения  и при формировании бюджета  поселения </w:t>
      </w:r>
      <w:r w:rsidR="00C208C0" w:rsidRPr="00D22BB0">
        <w:rPr>
          <w:rFonts w:cs="Arial"/>
          <w:color w:val="000000" w:themeColor="text1"/>
          <w:sz w:val="24"/>
          <w:szCs w:val="24"/>
        </w:rPr>
        <w:t>на  очередной финансовый год.</w:t>
      </w: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4201FE" w:rsidRDefault="004201F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D22BB0" w:rsidRPr="00D22BB0" w:rsidRDefault="00D22BB0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C208C0">
      <w:pPr>
        <w:pStyle w:val="ConsPlusNormal"/>
        <w:ind w:firstLine="540"/>
        <w:rPr>
          <w:rFonts w:cs="Arial"/>
          <w:color w:val="000000" w:themeColor="text1"/>
          <w:sz w:val="24"/>
          <w:szCs w:val="24"/>
        </w:rPr>
      </w:pPr>
    </w:p>
    <w:p w:rsidR="003F3D9E" w:rsidRPr="00D22BB0" w:rsidRDefault="003F3D9E" w:rsidP="003F3D9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F3D9E" w:rsidRPr="00D22BB0" w:rsidRDefault="003F3D9E" w:rsidP="003F3D9E">
      <w:pPr>
        <w:rPr>
          <w:rFonts w:ascii="Arial" w:hAnsi="Arial" w:cs="Arial"/>
          <w:b/>
          <w:sz w:val="24"/>
          <w:szCs w:val="24"/>
          <w:lang w:eastAsia="en-US"/>
        </w:rPr>
      </w:pPr>
      <w:r w:rsidRPr="00D22BB0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Приложение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к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постановлению администрации МО «Килинчинский сельсовет» 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от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3A1A"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36806">
        <w:rPr>
          <w:rFonts w:ascii="Arial" w:hAnsi="Arial" w:cs="Arial"/>
          <w:sz w:val="24"/>
          <w:szCs w:val="24"/>
          <w:lang w:eastAsia="en-US"/>
        </w:rPr>
        <w:t>«</w:t>
      </w:r>
      <w:proofErr w:type="gramEnd"/>
      <w:r w:rsidR="00C36806">
        <w:rPr>
          <w:rFonts w:ascii="Arial" w:hAnsi="Arial" w:cs="Arial"/>
          <w:sz w:val="24"/>
          <w:szCs w:val="24"/>
          <w:lang w:eastAsia="en-US"/>
        </w:rPr>
        <w:t>30</w:t>
      </w:r>
      <w:r w:rsidR="00D22BB0">
        <w:rPr>
          <w:rFonts w:ascii="Arial" w:hAnsi="Arial" w:cs="Arial"/>
          <w:sz w:val="24"/>
          <w:szCs w:val="24"/>
          <w:lang w:eastAsia="en-US"/>
        </w:rPr>
        <w:t xml:space="preserve">» </w:t>
      </w:r>
      <w:r w:rsidR="00C36806">
        <w:rPr>
          <w:rFonts w:ascii="Arial" w:hAnsi="Arial" w:cs="Arial"/>
          <w:sz w:val="24"/>
          <w:szCs w:val="24"/>
          <w:lang w:eastAsia="en-US"/>
        </w:rPr>
        <w:t xml:space="preserve">декабря </w:t>
      </w:r>
      <w:r w:rsidR="00D22BB0">
        <w:rPr>
          <w:rFonts w:ascii="Arial" w:hAnsi="Arial" w:cs="Arial"/>
          <w:sz w:val="24"/>
          <w:szCs w:val="24"/>
          <w:lang w:eastAsia="en-US"/>
        </w:rPr>
        <w:t>2021г. №</w:t>
      </w:r>
      <w:r w:rsidR="00C36806">
        <w:rPr>
          <w:rFonts w:ascii="Arial" w:hAnsi="Arial" w:cs="Arial"/>
          <w:sz w:val="24"/>
          <w:szCs w:val="24"/>
          <w:lang w:eastAsia="en-US"/>
        </w:rPr>
        <w:t>83</w:t>
      </w:r>
    </w:p>
    <w:p w:rsidR="003F3D9E" w:rsidRPr="00D22BB0" w:rsidRDefault="003F3D9E" w:rsidP="003F3D9E">
      <w:pPr>
        <w:ind w:left="609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3F3D9E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Положение</w:t>
      </w:r>
    </w:p>
    <w:p w:rsidR="003F3D9E" w:rsidRPr="00D22BB0" w:rsidRDefault="003F3D9E" w:rsidP="003F3D9E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3F3D9E">
      <w:pPr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о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порядке расходования средств резервного фонда администрации муниципального образования «Килинчинский сельсовет» на финансовое обеспечение мероприятий, связанных с предупреждением и ликвидацией чрезвычайных ситуаций</w:t>
      </w:r>
    </w:p>
    <w:p w:rsidR="003F3D9E" w:rsidRPr="00D22BB0" w:rsidRDefault="003F3D9E" w:rsidP="003F3D9E">
      <w:pPr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1. Общие положения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EB4B5B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1.1. Настоящее </w:t>
      </w:r>
      <w:r w:rsidR="003F3D9E" w:rsidRPr="00D22BB0">
        <w:rPr>
          <w:rFonts w:ascii="Arial" w:hAnsi="Arial" w:cs="Arial"/>
          <w:sz w:val="24"/>
          <w:szCs w:val="24"/>
          <w:lang w:eastAsia="en-US"/>
        </w:rPr>
        <w:t xml:space="preserve">Положение о порядке расходования средств резервного фонда </w:t>
      </w:r>
      <w:proofErr w:type="gramStart"/>
      <w:r w:rsidR="003F3D9E" w:rsidRPr="00D22BB0">
        <w:rPr>
          <w:rFonts w:ascii="Arial" w:hAnsi="Arial" w:cs="Arial"/>
          <w:sz w:val="24"/>
          <w:szCs w:val="24"/>
          <w:lang w:eastAsia="en-US"/>
        </w:rPr>
        <w:t xml:space="preserve">администрации  </w:t>
      </w:r>
      <w:r w:rsidRPr="00D22BB0">
        <w:rPr>
          <w:rFonts w:ascii="Arial" w:hAnsi="Arial" w:cs="Arial"/>
          <w:sz w:val="24"/>
          <w:szCs w:val="24"/>
          <w:lang w:eastAsia="en-US"/>
        </w:rPr>
        <w:t>муниципального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образования «Килинчинский сельсовет»</w:t>
      </w:r>
      <w:r w:rsidR="003F3D9E" w:rsidRPr="00D22BB0">
        <w:rPr>
          <w:rFonts w:ascii="Arial" w:hAnsi="Arial" w:cs="Arial"/>
          <w:sz w:val="24"/>
          <w:szCs w:val="24"/>
          <w:lang w:eastAsia="en-US"/>
        </w:rPr>
        <w:t xml:space="preserve"> 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2. Направления использования средств резервного фонда ЧС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3. Цели расходования средств резервного фонда ЧС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 расходуются на следующие цели: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проведение работ по очистке местности от взрывоопасных предметов времен Великой Отечественной войны;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приобретение медицинского имущества, оборудования и медицинских средств индивидуальной защиты, необходимых для проведения медицинских,  санитарно-гигиенических  и противоэпидемиологических мероприятий.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3.2. На мероприятия, связанные с ликвидацией последствий чрезвычайных ситуаций, в том числе: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проведение аварийно-спасательных работ;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поселения,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>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4. Условия предоставления средств из резервного фонда ЧС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Финансирование мероприятий по предупреждению и ликвидации чрезвычайных </w:t>
      </w: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учреждений и организаций (далее – организации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),  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также страховых фондов и других источников.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5. Порядок принятия решения о выделении средств из резервного фонда ЧС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поселения  с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просьбой о выделении средств из резервного фонда ЧС, содержащей размер и обоснование запрашиваемых средств и цель их использования.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 обращении должны быть указаны: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данные о количестве пострадавших людей (погибших или получивших ущерб (вред), причиненный их здоровью);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Обращение, в котором отсутствуют указанные сведения, возвращается без рассмотрения.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По поручению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главы администрация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и (</w:t>
      </w:r>
      <w:r w:rsidRPr="00D22BB0">
        <w:rPr>
          <w:rFonts w:ascii="Arial" w:hAnsi="Arial" w:cs="Arial"/>
          <w:sz w:val="24"/>
          <w:szCs w:val="24"/>
          <w:lang w:eastAsia="en-US"/>
        </w:rPr>
        <w:t>или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)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председателя комиссии по предупреждению и ликвидации чрезвычайных ситуаций и пожарной безопасности (далее - Комиссия) финансовый орган  с участием других заинтересованных служб в 5 - </w:t>
      </w:r>
      <w:proofErr w:type="spellStart"/>
      <w:r w:rsidRPr="00D22BB0">
        <w:rPr>
          <w:rFonts w:ascii="Arial" w:hAnsi="Arial" w:cs="Arial"/>
          <w:sz w:val="24"/>
          <w:szCs w:val="24"/>
          <w:lang w:eastAsia="en-US"/>
        </w:rPr>
        <w:t>дневный</w:t>
      </w:r>
      <w:proofErr w:type="spellEnd"/>
      <w:r w:rsidRPr="00D22BB0">
        <w:rPr>
          <w:rFonts w:ascii="Arial" w:hAnsi="Arial" w:cs="Arial"/>
          <w:sz w:val="24"/>
          <w:szCs w:val="24"/>
          <w:lang w:eastAsia="en-US"/>
        </w:rPr>
        <w:t xml:space="preserve">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 из резервного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Горского сельского поселения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В администрацию представляются следующие обосновывающие документы: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- решение Главы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о введении для органов управления и сил муниципального звена территориальной подсистемы РСЧС режима повышенной готовности или </w:t>
      </w: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основные сведения о прямом материальном ущербе;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справки страховых организаций;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справка областно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го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центр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по гидрометеорологии и мониторингу окружающей среды о факте стихийного гидрометеорологического явления;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акт о пожаре, составленный руководителем тушения пожара подразделения противопожарной службы;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- выписка из реестра муниципальной собственности с указанием порядкового номера, года ввода в экс</w:t>
      </w:r>
      <w:r w:rsidR="00EB4B5B" w:rsidRPr="00D22BB0">
        <w:rPr>
          <w:rFonts w:ascii="Arial" w:hAnsi="Arial" w:cs="Arial"/>
          <w:sz w:val="24"/>
          <w:szCs w:val="24"/>
          <w:lang w:eastAsia="en-US"/>
        </w:rPr>
        <w:t>п</w:t>
      </w:r>
      <w:r w:rsidRPr="00D22BB0">
        <w:rPr>
          <w:rFonts w:ascii="Arial" w:hAnsi="Arial" w:cs="Arial"/>
          <w:sz w:val="24"/>
          <w:szCs w:val="24"/>
          <w:lang w:eastAsia="en-US"/>
        </w:rPr>
        <w:t>луатацию и собственника пострадавшего объекта;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 Указанные сведения заверяются главой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Pr="00D22BB0">
        <w:rPr>
          <w:rFonts w:ascii="Arial" w:hAnsi="Arial" w:cs="Arial"/>
          <w:sz w:val="24"/>
          <w:szCs w:val="24"/>
          <w:lang w:eastAsia="en-US"/>
        </w:rPr>
        <w:t>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Координацию подготовки и контроль за своевременным представлением обосновывающих документов, обобщение и экспертизу представленных обосновывающих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документов  осуществляет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ответственный секретарь Комиссии.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При принятии Комиссией решений о выделении средств из резервного фонда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ЧС,  финансовый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 отдел, другими заинтересованными структурными подразделениями, вносит соответствующие предложения в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администрацию муниципального образования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в форме проекта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постановления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о выделении денежных средств.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 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6. Основание для выделения средств из резервного фонда ЧС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_GoBack"/>
      <w:r w:rsidRPr="00D22BB0">
        <w:rPr>
          <w:rFonts w:ascii="Arial" w:hAnsi="Arial" w:cs="Arial"/>
          <w:sz w:val="24"/>
          <w:szCs w:val="24"/>
          <w:lang w:eastAsia="en-US"/>
        </w:rPr>
        <w:t xml:space="preserve">Основанием для выделения средств из резервного фонда ЧС является </w:t>
      </w:r>
      <w:r w:rsidR="004F06CB" w:rsidRPr="00D22BB0">
        <w:rPr>
          <w:rFonts w:ascii="Arial" w:hAnsi="Arial" w:cs="Arial"/>
          <w:sz w:val="24"/>
          <w:szCs w:val="24"/>
          <w:lang w:eastAsia="en-US"/>
        </w:rPr>
        <w:t>постановление или распоряжение главы</w:t>
      </w:r>
      <w:r w:rsidRPr="00D22BB0">
        <w:rPr>
          <w:rFonts w:ascii="Arial" w:hAnsi="Arial" w:cs="Arial"/>
          <w:sz w:val="24"/>
          <w:szCs w:val="24"/>
          <w:lang w:eastAsia="en-US"/>
        </w:rPr>
        <w:t xml:space="preserve"> администрации муниципального образования «Килинчинский сельсовет».</w:t>
      </w:r>
    </w:p>
    <w:bookmarkEnd w:id="1"/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муниципального образования «Килинчинский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сельсовет»  отчета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о целевом использовании средств, должностное лицо, на которое возложен контроль за исполнением данного распоряжения.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Проект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выделения  средств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из резервного фонда ЧС в обязательном порядке подлежит согласованию с  бухгалтером  администрации муниципального образования «Килинчинский </w:t>
      </w:r>
      <w:r w:rsidRPr="00D22BB0">
        <w:rPr>
          <w:rFonts w:ascii="Arial" w:hAnsi="Arial" w:cs="Arial"/>
          <w:sz w:val="24"/>
          <w:szCs w:val="24"/>
          <w:lang w:eastAsia="en-US"/>
        </w:rPr>
        <w:lastRenderedPageBreak/>
        <w:t>сельсовет»,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Использование средств резервного фонда ЧС на цели, не предусмотренные распоряжением администрации, не допускается.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7. Осуществление контроля за целевым использованием средств резервного фонда ЧС.</w:t>
      </w:r>
    </w:p>
    <w:p w:rsidR="003F3D9E" w:rsidRPr="00D22BB0" w:rsidRDefault="003F3D9E" w:rsidP="00EB4B5B">
      <w:pPr>
        <w:ind w:firstLine="851"/>
        <w:rPr>
          <w:rFonts w:ascii="Arial" w:hAnsi="Arial" w:cs="Arial"/>
          <w:sz w:val="24"/>
          <w:szCs w:val="24"/>
          <w:lang w:eastAsia="en-US"/>
        </w:rPr>
      </w:pP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Администрация муниципального образования «Килинчинский сельсовет» несет ответственность за целевое использование этих средств в порядке, установленном законодательством Российской Федерации.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 xml:space="preserve">Контроль за выделением средств из резервного фонда ЧС и представлением отчетов об их целевом использовании </w:t>
      </w:r>
      <w:proofErr w:type="gramStart"/>
      <w:r w:rsidRPr="00D22BB0">
        <w:rPr>
          <w:rFonts w:ascii="Arial" w:hAnsi="Arial" w:cs="Arial"/>
          <w:sz w:val="24"/>
          <w:szCs w:val="24"/>
          <w:lang w:eastAsia="en-US"/>
        </w:rPr>
        <w:t>осуществляет  бухгалтер</w:t>
      </w:r>
      <w:proofErr w:type="gramEnd"/>
      <w:r w:rsidRPr="00D22BB0">
        <w:rPr>
          <w:rFonts w:ascii="Arial" w:hAnsi="Arial" w:cs="Arial"/>
          <w:sz w:val="24"/>
          <w:szCs w:val="24"/>
          <w:lang w:eastAsia="en-US"/>
        </w:rPr>
        <w:t xml:space="preserve">  администрации муниципального образования «Килинчинский сельсовет».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ЧС, предоставленные в соответствии с Решением Совета о бюджете администрации муниципального образования «Килинчинский сельсовет», подлежат использованию в течение финансового года для исполнения расходных обязательств по предназначению.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D22BB0">
        <w:rPr>
          <w:rFonts w:ascii="Arial" w:hAnsi="Arial" w:cs="Arial"/>
          <w:sz w:val="24"/>
          <w:szCs w:val="24"/>
          <w:lang w:eastAsia="en-US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3F3D9E" w:rsidRPr="00D22BB0" w:rsidRDefault="003F3D9E" w:rsidP="00EB4B5B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3F3D9E" w:rsidRPr="00D22BB0" w:rsidSect="00C208C0">
      <w:headerReference w:type="default" r:id="rId8"/>
      <w:pgSz w:w="11907" w:h="16840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CE" w:rsidRDefault="00D253CE">
      <w:r>
        <w:separator/>
      </w:r>
    </w:p>
  </w:endnote>
  <w:endnote w:type="continuationSeparator" w:id="0">
    <w:p w:rsidR="00D253CE" w:rsidRDefault="00D2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CE" w:rsidRDefault="00D253CE">
      <w:r>
        <w:separator/>
      </w:r>
    </w:p>
  </w:footnote>
  <w:footnote w:type="continuationSeparator" w:id="0">
    <w:p w:rsidR="00D253CE" w:rsidRDefault="00D2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9"/>
  </w:num>
  <w:num w:numId="13">
    <w:abstractNumId w:val="22"/>
  </w:num>
  <w:num w:numId="14">
    <w:abstractNumId w:val="26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16"/>
  </w:num>
  <w:num w:numId="20">
    <w:abstractNumId w:val="10"/>
  </w:num>
  <w:num w:numId="21">
    <w:abstractNumId w:val="17"/>
  </w:num>
  <w:num w:numId="22">
    <w:abstractNumId w:val="20"/>
  </w:num>
  <w:num w:numId="23">
    <w:abstractNumId w:val="31"/>
  </w:num>
  <w:num w:numId="24">
    <w:abstractNumId w:val="15"/>
  </w:num>
  <w:num w:numId="25">
    <w:abstractNumId w:val="21"/>
  </w:num>
  <w:num w:numId="26">
    <w:abstractNumId w:val="19"/>
  </w:num>
  <w:num w:numId="27">
    <w:abstractNumId w:val="13"/>
  </w:num>
  <w:num w:numId="28">
    <w:abstractNumId w:val="25"/>
  </w:num>
  <w:num w:numId="29">
    <w:abstractNumId w:val="14"/>
  </w:num>
  <w:num w:numId="30">
    <w:abstractNumId w:val="11"/>
  </w:num>
  <w:num w:numId="31">
    <w:abstractNumId w:val="24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9EA"/>
    <w:rsid w:val="000B2E32"/>
    <w:rsid w:val="000B2E7B"/>
    <w:rsid w:val="000B2FFD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7F08"/>
    <w:rsid w:val="000E164A"/>
    <w:rsid w:val="000E2601"/>
    <w:rsid w:val="000E337C"/>
    <w:rsid w:val="000E3A1A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5F7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59A0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6578"/>
    <w:rsid w:val="002178E6"/>
    <w:rsid w:val="0022128D"/>
    <w:rsid w:val="00222A4D"/>
    <w:rsid w:val="00222E2F"/>
    <w:rsid w:val="00223E1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4436"/>
    <w:rsid w:val="002A454A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35C8"/>
    <w:rsid w:val="0030382A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92D"/>
    <w:rsid w:val="00357FC7"/>
    <w:rsid w:val="003614EB"/>
    <w:rsid w:val="00361550"/>
    <w:rsid w:val="00361606"/>
    <w:rsid w:val="00361EE1"/>
    <w:rsid w:val="0036683B"/>
    <w:rsid w:val="0036729A"/>
    <w:rsid w:val="0038070F"/>
    <w:rsid w:val="0038652A"/>
    <w:rsid w:val="00386795"/>
    <w:rsid w:val="0039035D"/>
    <w:rsid w:val="00392C41"/>
    <w:rsid w:val="0039382A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D6F7A"/>
    <w:rsid w:val="003E6B2D"/>
    <w:rsid w:val="003E7AD6"/>
    <w:rsid w:val="003F0379"/>
    <w:rsid w:val="003F1128"/>
    <w:rsid w:val="003F36A3"/>
    <w:rsid w:val="003F3D9E"/>
    <w:rsid w:val="003F66C5"/>
    <w:rsid w:val="00402FED"/>
    <w:rsid w:val="00403B9C"/>
    <w:rsid w:val="00404235"/>
    <w:rsid w:val="00404736"/>
    <w:rsid w:val="00404D63"/>
    <w:rsid w:val="00406BDD"/>
    <w:rsid w:val="0041144B"/>
    <w:rsid w:val="00412851"/>
    <w:rsid w:val="00412BD8"/>
    <w:rsid w:val="00414B36"/>
    <w:rsid w:val="004162E3"/>
    <w:rsid w:val="00417773"/>
    <w:rsid w:val="004177EB"/>
    <w:rsid w:val="004201FE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2D3D"/>
    <w:rsid w:val="00455A57"/>
    <w:rsid w:val="00456554"/>
    <w:rsid w:val="00456FE8"/>
    <w:rsid w:val="00461EB9"/>
    <w:rsid w:val="00462D4D"/>
    <w:rsid w:val="00462DFE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9EB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1A80"/>
    <w:rsid w:val="004C322C"/>
    <w:rsid w:val="004C430A"/>
    <w:rsid w:val="004C7AC5"/>
    <w:rsid w:val="004D0246"/>
    <w:rsid w:val="004D1602"/>
    <w:rsid w:val="004D2854"/>
    <w:rsid w:val="004D4C62"/>
    <w:rsid w:val="004D5894"/>
    <w:rsid w:val="004D6D76"/>
    <w:rsid w:val="004E2905"/>
    <w:rsid w:val="004E2FCD"/>
    <w:rsid w:val="004E3E08"/>
    <w:rsid w:val="004E5F4E"/>
    <w:rsid w:val="004F06CB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14B6"/>
    <w:rsid w:val="005149CD"/>
    <w:rsid w:val="005151A9"/>
    <w:rsid w:val="00515601"/>
    <w:rsid w:val="00515EFD"/>
    <w:rsid w:val="00520D16"/>
    <w:rsid w:val="00523344"/>
    <w:rsid w:val="00523425"/>
    <w:rsid w:val="00524B82"/>
    <w:rsid w:val="00525CFC"/>
    <w:rsid w:val="00526327"/>
    <w:rsid w:val="00530534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763C7"/>
    <w:rsid w:val="00577910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6A9D"/>
    <w:rsid w:val="005E37F2"/>
    <w:rsid w:val="005E3DBC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BA6"/>
    <w:rsid w:val="006217C7"/>
    <w:rsid w:val="0062376C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454"/>
    <w:rsid w:val="00674BF7"/>
    <w:rsid w:val="00675079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07EAF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774D"/>
    <w:rsid w:val="0077180B"/>
    <w:rsid w:val="00772449"/>
    <w:rsid w:val="00775001"/>
    <w:rsid w:val="0077716E"/>
    <w:rsid w:val="00780974"/>
    <w:rsid w:val="00780AE8"/>
    <w:rsid w:val="00781C31"/>
    <w:rsid w:val="00790732"/>
    <w:rsid w:val="00792094"/>
    <w:rsid w:val="00794302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2F2"/>
    <w:rsid w:val="007E68A3"/>
    <w:rsid w:val="007E6AB9"/>
    <w:rsid w:val="007F2B6D"/>
    <w:rsid w:val="007F2DEA"/>
    <w:rsid w:val="007F366A"/>
    <w:rsid w:val="007F37E7"/>
    <w:rsid w:val="007F4E41"/>
    <w:rsid w:val="007F585F"/>
    <w:rsid w:val="007F5DCA"/>
    <w:rsid w:val="007F6A17"/>
    <w:rsid w:val="007F7954"/>
    <w:rsid w:val="007F7CA7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C08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51D"/>
    <w:rsid w:val="008B4D87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30BF"/>
    <w:rsid w:val="00AB55EA"/>
    <w:rsid w:val="00AB566D"/>
    <w:rsid w:val="00AB7BE1"/>
    <w:rsid w:val="00AC0AF5"/>
    <w:rsid w:val="00AC1292"/>
    <w:rsid w:val="00AC163A"/>
    <w:rsid w:val="00AC24E0"/>
    <w:rsid w:val="00AC3D45"/>
    <w:rsid w:val="00AC6253"/>
    <w:rsid w:val="00AC632D"/>
    <w:rsid w:val="00AC68F8"/>
    <w:rsid w:val="00AC6C04"/>
    <w:rsid w:val="00AC7805"/>
    <w:rsid w:val="00AC7AED"/>
    <w:rsid w:val="00AE1B2E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7AA6"/>
    <w:rsid w:val="00B206AA"/>
    <w:rsid w:val="00B22ED6"/>
    <w:rsid w:val="00B241D1"/>
    <w:rsid w:val="00B2497B"/>
    <w:rsid w:val="00B31C81"/>
    <w:rsid w:val="00B36B4E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3BCB"/>
    <w:rsid w:val="00B54028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DB8"/>
    <w:rsid w:val="00BB7515"/>
    <w:rsid w:val="00BC009C"/>
    <w:rsid w:val="00BC03D8"/>
    <w:rsid w:val="00BC1A18"/>
    <w:rsid w:val="00BC2AC1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17E84"/>
    <w:rsid w:val="00C2056C"/>
    <w:rsid w:val="00C208C0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3638F"/>
    <w:rsid w:val="00C36806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26E0"/>
    <w:rsid w:val="00C847DB"/>
    <w:rsid w:val="00C903A9"/>
    <w:rsid w:val="00C905EE"/>
    <w:rsid w:val="00C91D57"/>
    <w:rsid w:val="00C928BF"/>
    <w:rsid w:val="00CA04C3"/>
    <w:rsid w:val="00CA0767"/>
    <w:rsid w:val="00CA11B1"/>
    <w:rsid w:val="00CA2E35"/>
    <w:rsid w:val="00CA2FE1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C0164"/>
    <w:rsid w:val="00CC264F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2BB0"/>
    <w:rsid w:val="00D23790"/>
    <w:rsid w:val="00D2468A"/>
    <w:rsid w:val="00D253CE"/>
    <w:rsid w:val="00D32F1F"/>
    <w:rsid w:val="00D33827"/>
    <w:rsid w:val="00D35D6C"/>
    <w:rsid w:val="00D42F6B"/>
    <w:rsid w:val="00D433F8"/>
    <w:rsid w:val="00D43E4B"/>
    <w:rsid w:val="00D4447F"/>
    <w:rsid w:val="00D474E7"/>
    <w:rsid w:val="00D54487"/>
    <w:rsid w:val="00D558EF"/>
    <w:rsid w:val="00D56C1D"/>
    <w:rsid w:val="00D578BF"/>
    <w:rsid w:val="00D60890"/>
    <w:rsid w:val="00D62887"/>
    <w:rsid w:val="00D62D30"/>
    <w:rsid w:val="00D6392F"/>
    <w:rsid w:val="00D70E83"/>
    <w:rsid w:val="00D7158C"/>
    <w:rsid w:val="00D71A13"/>
    <w:rsid w:val="00D74273"/>
    <w:rsid w:val="00D846F5"/>
    <w:rsid w:val="00D84C79"/>
    <w:rsid w:val="00D84D38"/>
    <w:rsid w:val="00D84DC8"/>
    <w:rsid w:val="00D876C9"/>
    <w:rsid w:val="00D90ACE"/>
    <w:rsid w:val="00D916D2"/>
    <w:rsid w:val="00D91C0E"/>
    <w:rsid w:val="00D92C5D"/>
    <w:rsid w:val="00D93754"/>
    <w:rsid w:val="00DA05FD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6097"/>
    <w:rsid w:val="00DD777B"/>
    <w:rsid w:val="00DE1811"/>
    <w:rsid w:val="00DE3456"/>
    <w:rsid w:val="00DF037D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26765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4B5B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C6A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2CCC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67EFE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96564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3EC3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E6A15-EC0A-45A6-A3DA-C51469F2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515601"/>
    <w:pPr>
      <w:widowControl/>
      <w:autoSpaceDE/>
      <w:autoSpaceDN/>
      <w:adjustRightInd/>
      <w:jc w:val="center"/>
    </w:pPr>
    <w:rPr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  <w:lang w:val="x-none" w:eastAsia="x-none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table" w:styleId="afa">
    <w:name w:val="Table Grid"/>
    <w:basedOn w:val="a1"/>
    <w:uiPriority w:val="59"/>
    <w:locked/>
    <w:rsid w:val="003F3D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28DE-CF4B-4E4B-948E-09B4AD1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user</cp:lastModifiedBy>
  <cp:revision>6</cp:revision>
  <cp:lastPrinted>2019-11-19T17:30:00Z</cp:lastPrinted>
  <dcterms:created xsi:type="dcterms:W3CDTF">2022-03-02T19:27:00Z</dcterms:created>
  <dcterms:modified xsi:type="dcterms:W3CDTF">2022-03-24T11:09:00Z</dcterms:modified>
</cp:coreProperties>
</file>