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B6" w:rsidRPr="00F64C8C" w:rsidRDefault="008F31B6" w:rsidP="008F31B6">
      <w:pPr>
        <w:tabs>
          <w:tab w:val="left" w:pos="1134"/>
        </w:tabs>
        <w:jc w:val="center"/>
        <w:rPr>
          <w:b/>
        </w:rPr>
      </w:pPr>
      <w:r w:rsidRPr="00F64C8C">
        <w:rPr>
          <w:b/>
        </w:rPr>
        <w:t>Пояснительная записка</w:t>
      </w:r>
    </w:p>
    <w:p w:rsidR="008F31B6" w:rsidRPr="00F64C8C" w:rsidRDefault="008F31B6" w:rsidP="008F31B6">
      <w:pPr>
        <w:jc w:val="center"/>
        <w:rPr>
          <w:b/>
        </w:rPr>
      </w:pPr>
      <w:proofErr w:type="gramStart"/>
      <w:r w:rsidRPr="00F64C8C">
        <w:rPr>
          <w:b/>
        </w:rPr>
        <w:t>к</w:t>
      </w:r>
      <w:proofErr w:type="gramEnd"/>
      <w:r w:rsidRPr="00F64C8C">
        <w:rPr>
          <w:b/>
        </w:rPr>
        <w:t xml:space="preserve"> проекту Решения Совета муниципального образования «Сельское поселение Килинчинский сельсовет Приволжского муниципального района Астраханской области» о внесении изменений в Решение Совета от 26.12.2022 № 35  «Об утверждении бюджета муниципального образования </w:t>
      </w:r>
    </w:p>
    <w:p w:rsidR="008F31B6" w:rsidRPr="00F64C8C" w:rsidRDefault="008F31B6" w:rsidP="008F31B6">
      <w:pPr>
        <w:jc w:val="center"/>
        <w:rPr>
          <w:b/>
        </w:rPr>
      </w:pPr>
      <w:r w:rsidRPr="00F64C8C">
        <w:rPr>
          <w:b/>
        </w:rPr>
        <w:t>«Сельское поселение Килинчинский сельсовет Приволжского муниципального района Астраханской области» на 2023 год»</w:t>
      </w:r>
    </w:p>
    <w:p w:rsidR="008F31B6" w:rsidRPr="00F64C8C" w:rsidRDefault="008F31B6" w:rsidP="008F31B6">
      <w:pPr>
        <w:jc w:val="center"/>
        <w:rPr>
          <w:b/>
        </w:rPr>
      </w:pPr>
    </w:p>
    <w:p w:rsidR="0013382B" w:rsidRPr="00F64C8C" w:rsidRDefault="008F31B6" w:rsidP="008F31B6">
      <w:pPr>
        <w:jc w:val="both"/>
      </w:pPr>
      <w:r w:rsidRPr="00F64C8C">
        <w:t>Уточнение Решения Совета повлечет за собой изменение основных параметров бюджета муниципального образования «Сельское поселение Килинчинский сельсовет Приволжского муниципального района Астраханской области»</w:t>
      </w:r>
    </w:p>
    <w:p w:rsidR="008F31B6" w:rsidRPr="00F64C8C" w:rsidRDefault="008F31B6" w:rsidP="008F31B6"/>
    <w:p w:rsidR="008F31B6" w:rsidRPr="00F64C8C" w:rsidRDefault="008F31B6" w:rsidP="008F31B6">
      <w:pPr>
        <w:jc w:val="center"/>
        <w:rPr>
          <w:b/>
        </w:rPr>
      </w:pPr>
      <w:r w:rsidRPr="00F64C8C">
        <w:rPr>
          <w:b/>
        </w:rPr>
        <w:t>Основные параметры бюджета муниципального образования «Сельское поселение Килинчинский сельсовет Приволжского муниципального района Астраханской области»</w:t>
      </w:r>
    </w:p>
    <w:p w:rsidR="008F31B6" w:rsidRPr="00F64C8C" w:rsidRDefault="008F31B6" w:rsidP="008F31B6">
      <w:pPr>
        <w:jc w:val="right"/>
      </w:pPr>
      <w:proofErr w:type="spellStart"/>
      <w:r w:rsidRPr="00F64C8C">
        <w:t>Тыс.руб</w:t>
      </w:r>
      <w:proofErr w:type="spellEnd"/>
      <w:r w:rsidRPr="00F64C8C">
        <w:t>.</w:t>
      </w:r>
    </w:p>
    <w:tbl>
      <w:tblPr>
        <w:tblW w:w="894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558"/>
        <w:gridCol w:w="1701"/>
        <w:gridCol w:w="1984"/>
        <w:gridCol w:w="1701"/>
      </w:tblGrid>
      <w:tr w:rsidR="008F31B6" w:rsidRPr="00F64C8C" w:rsidTr="008F31B6">
        <w:trPr>
          <w:trHeight w:val="828"/>
        </w:trPr>
        <w:tc>
          <w:tcPr>
            <w:tcW w:w="3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2023 год принятый бюджет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 xml:space="preserve">2023 </w:t>
            </w:r>
            <w:proofErr w:type="gramStart"/>
            <w:r w:rsidRPr="00F64C8C">
              <w:rPr>
                <w:color w:val="000000"/>
              </w:rPr>
              <w:t>год  предложения</w:t>
            </w:r>
            <w:proofErr w:type="gramEnd"/>
            <w:r w:rsidRPr="00F64C8C">
              <w:rPr>
                <w:color w:val="000000"/>
              </w:rPr>
              <w:t xml:space="preserve"> к уточнению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Отклонение 2023</w:t>
            </w:r>
          </w:p>
        </w:tc>
      </w:tr>
      <w:tr w:rsidR="008F31B6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Доходы налоговые и неналоговые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892294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2924,0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301,3</w:t>
            </w:r>
          </w:p>
        </w:tc>
      </w:tr>
      <w:tr w:rsidR="008F31B6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 xml:space="preserve">Межбюджетные </w:t>
            </w:r>
            <w:proofErr w:type="gramStart"/>
            <w:r w:rsidRPr="00F64C8C">
              <w:rPr>
                <w:color w:val="000000"/>
              </w:rPr>
              <w:t>трансферты</w:t>
            </w:r>
            <w:r w:rsidR="00403813">
              <w:rPr>
                <w:color w:val="000000"/>
              </w:rPr>
              <w:t xml:space="preserve">,   </w:t>
            </w:r>
            <w:proofErr w:type="gramEnd"/>
            <w:r w:rsidR="00403813">
              <w:rPr>
                <w:color w:val="000000"/>
              </w:rPr>
              <w:t xml:space="preserve">     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892294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6475,4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14345F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-</w:t>
            </w:r>
            <w:r w:rsidR="00403813">
              <w:rPr>
                <w:color w:val="000000"/>
              </w:rPr>
              <w:t>511,8</w:t>
            </w:r>
          </w:p>
        </w:tc>
      </w:tr>
      <w:tr w:rsidR="00403813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13" w:rsidRPr="00F64C8C" w:rsidRDefault="00403813" w:rsidP="00403813">
            <w:pPr>
              <w:ind w:right="176"/>
              <w:jc w:val="both"/>
              <w:rPr>
                <w:color w:val="000000"/>
              </w:rPr>
            </w:pPr>
            <w:r w:rsidRPr="00403813">
              <w:t>Прочие безвозмездные поступления в бюджеты сельских поселений от бюджетов</w:t>
            </w:r>
            <w:r w:rsidRPr="00403813">
              <w:rPr>
                <w:color w:val="000000"/>
              </w:rPr>
              <w:t xml:space="preserve"> муниципальных районов</w:t>
            </w:r>
            <w:r w:rsidRPr="00403813">
              <w:rPr>
                <w:color w:val="000000"/>
              </w:rPr>
              <w:tab/>
            </w:r>
            <w:r w:rsidRPr="00403813">
              <w:rPr>
                <w:color w:val="000000"/>
              </w:rPr>
              <w:tab/>
            </w:r>
            <w:r w:rsidRPr="00403813">
              <w:rPr>
                <w:color w:val="00000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13" w:rsidRPr="00F64C8C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13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13" w:rsidRPr="00F64C8C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-112,8</w:t>
            </w:r>
          </w:p>
        </w:tc>
      </w:tr>
      <w:tr w:rsidR="00403813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13" w:rsidRPr="00F64C8C" w:rsidRDefault="00403813" w:rsidP="00403813">
            <w:pPr>
              <w:jc w:val="both"/>
              <w:rPr>
                <w:color w:val="000000"/>
              </w:rPr>
            </w:pPr>
            <w:r w:rsidRPr="00403813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403813">
              <w:rPr>
                <w:color w:val="000000"/>
              </w:rPr>
              <w:tab/>
            </w:r>
            <w:r w:rsidRPr="00403813">
              <w:rPr>
                <w:color w:val="000000"/>
              </w:rPr>
              <w:tab/>
            </w:r>
            <w:r w:rsidRPr="00403813">
              <w:rPr>
                <w:color w:val="000000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13" w:rsidRPr="00F64C8C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13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13" w:rsidRPr="00F64C8C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-399,0</w:t>
            </w:r>
          </w:p>
        </w:tc>
      </w:tr>
      <w:tr w:rsidR="008F31B6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892294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9399,4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5E2CC4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9188,9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3813" w:rsidRDefault="00403813" w:rsidP="004C5903">
            <w:pPr>
              <w:jc w:val="center"/>
              <w:rPr>
                <w:color w:val="000000"/>
              </w:rPr>
            </w:pPr>
          </w:p>
          <w:p w:rsidR="008F31B6" w:rsidRPr="00F64C8C" w:rsidRDefault="00C5204E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-210,5</w:t>
            </w:r>
          </w:p>
          <w:p w:rsidR="00892294" w:rsidRPr="00F64C8C" w:rsidRDefault="00892294" w:rsidP="004C5903">
            <w:pPr>
              <w:jc w:val="center"/>
              <w:rPr>
                <w:color w:val="000000"/>
              </w:rPr>
            </w:pPr>
          </w:p>
        </w:tc>
      </w:tr>
      <w:tr w:rsidR="008F31B6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892294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9337,4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40381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233,6</w:t>
            </w:r>
          </w:p>
        </w:tc>
      </w:tr>
      <w:tr w:rsidR="008F31B6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ДЕФИЦИТ/ПРОФИЦИТ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724FF1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62,0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5E2CC4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D72A14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-444,1</w:t>
            </w:r>
          </w:p>
        </w:tc>
      </w:tr>
      <w:tr w:rsidR="008F31B6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4C590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D72A14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D72A14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444,1</w:t>
            </w:r>
          </w:p>
        </w:tc>
      </w:tr>
      <w:tr w:rsidR="008F31B6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Остатки средств на 01.01.2023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92294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892294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444,1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892294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444,1</w:t>
            </w:r>
          </w:p>
        </w:tc>
      </w:tr>
      <w:tr w:rsidR="008F31B6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8F31B6" w:rsidP="008F31B6">
            <w:pPr>
              <w:jc w:val="center"/>
              <w:rPr>
                <w:color w:val="000000"/>
              </w:rPr>
            </w:pPr>
            <w:proofErr w:type="gramStart"/>
            <w:r w:rsidRPr="00F64C8C">
              <w:rPr>
                <w:color w:val="000000"/>
              </w:rPr>
              <w:t>из</w:t>
            </w:r>
            <w:proofErr w:type="gramEnd"/>
            <w:r w:rsidRPr="00F64C8C">
              <w:rPr>
                <w:color w:val="000000"/>
              </w:rPr>
              <w:t xml:space="preserve"> них целевые средства: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892294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31B6" w:rsidRPr="00F64C8C" w:rsidRDefault="008F31B6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399,0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C5903" w:rsidRDefault="004C5903" w:rsidP="004C5903">
            <w:pPr>
              <w:rPr>
                <w:color w:val="000000"/>
              </w:rPr>
            </w:pPr>
          </w:p>
          <w:p w:rsidR="00811E01" w:rsidRDefault="004C5903" w:rsidP="004C59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399,0</w:t>
            </w:r>
          </w:p>
          <w:p w:rsidR="008F31B6" w:rsidRPr="00F64C8C" w:rsidRDefault="008F31B6" w:rsidP="004C5903">
            <w:pPr>
              <w:pStyle w:val="a4"/>
              <w:jc w:val="center"/>
            </w:pPr>
          </w:p>
        </w:tc>
      </w:tr>
      <w:tr w:rsidR="008F31B6" w:rsidRPr="00F64C8C" w:rsidTr="008F31B6">
        <w:trPr>
          <w:trHeight w:val="300"/>
        </w:trPr>
        <w:tc>
          <w:tcPr>
            <w:tcW w:w="3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740102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Погашение бюджетного кредита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-62,0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-62,0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1B6" w:rsidRPr="00F64C8C" w:rsidRDefault="008F31B6" w:rsidP="004C5903">
            <w:pPr>
              <w:jc w:val="center"/>
              <w:rPr>
                <w:color w:val="000000"/>
              </w:rPr>
            </w:pPr>
            <w:r w:rsidRPr="00F64C8C">
              <w:rPr>
                <w:color w:val="000000"/>
              </w:rPr>
              <w:t>0</w:t>
            </w:r>
          </w:p>
        </w:tc>
      </w:tr>
    </w:tbl>
    <w:p w:rsidR="008F31B6" w:rsidRPr="00F64C8C" w:rsidRDefault="008F31B6" w:rsidP="008F31B6">
      <w:pPr>
        <w:jc w:val="center"/>
        <w:rPr>
          <w:b/>
        </w:rPr>
      </w:pPr>
    </w:p>
    <w:p w:rsidR="00977E6C" w:rsidRDefault="008F31B6" w:rsidP="008F31B6">
      <w:pPr>
        <w:ind w:firstLine="709"/>
        <w:jc w:val="both"/>
      </w:pPr>
      <w:r w:rsidRPr="00F64C8C">
        <w:t xml:space="preserve">Проектом Решения произведено уточнение </w:t>
      </w:r>
      <w:proofErr w:type="gramStart"/>
      <w:r w:rsidRPr="00F64C8C">
        <w:t>доходной  и</w:t>
      </w:r>
      <w:proofErr w:type="gramEnd"/>
      <w:r w:rsidRPr="00F64C8C">
        <w:t xml:space="preserve"> расходной части бюдж</w:t>
      </w:r>
      <w:r w:rsidR="005E2CC4">
        <w:t xml:space="preserve">ета муниципального образования </w:t>
      </w:r>
      <w:r w:rsidR="00724FF1" w:rsidRPr="00F64C8C">
        <w:rPr>
          <w:color w:val="000000"/>
        </w:rPr>
        <w:t xml:space="preserve">«Сельское поселение Килинчинский сельсовет </w:t>
      </w:r>
      <w:r w:rsidR="00724FF1" w:rsidRPr="00F64C8C">
        <w:rPr>
          <w:color w:val="000000"/>
        </w:rPr>
        <w:lastRenderedPageBreak/>
        <w:t>Приволжского муниципального района Астраханской области»</w:t>
      </w:r>
      <w:r w:rsidRPr="00F64C8C">
        <w:t xml:space="preserve"> на 2023 год </w:t>
      </w:r>
      <w:r w:rsidR="00977E6C">
        <w:t>по следующим параметрам:</w:t>
      </w:r>
    </w:p>
    <w:p w:rsidR="008F31B6" w:rsidRDefault="008F31B6" w:rsidP="008F31B6">
      <w:pPr>
        <w:ind w:firstLine="709"/>
        <w:jc w:val="both"/>
      </w:pPr>
      <w:proofErr w:type="gramStart"/>
      <w:r w:rsidRPr="00F64C8C">
        <w:t>за</w:t>
      </w:r>
      <w:proofErr w:type="gramEnd"/>
      <w:r w:rsidRPr="00F64C8C">
        <w:t xml:space="preserve"> счет остатков средств на 01.01.2023 года в объеме </w:t>
      </w:r>
      <w:r w:rsidR="00977E6C">
        <w:t>45,1</w:t>
      </w:r>
      <w:r w:rsidRPr="00F64C8C">
        <w:t xml:space="preserve"> тыс.</w:t>
      </w:r>
      <w:r w:rsidR="00811E01">
        <w:t xml:space="preserve"> </w:t>
      </w:r>
      <w:r w:rsidRPr="00F64C8C">
        <w:t xml:space="preserve">рублей и увеличением доходов в объеме </w:t>
      </w:r>
      <w:r w:rsidR="00977E6C">
        <w:t>301,3</w:t>
      </w:r>
      <w:r w:rsidRPr="00F64C8C">
        <w:t xml:space="preserve"> тыс.</w:t>
      </w:r>
      <w:r w:rsidR="00811E01">
        <w:t xml:space="preserve"> </w:t>
      </w:r>
      <w:r w:rsidRPr="00F64C8C">
        <w:t>рублей.</w:t>
      </w:r>
    </w:p>
    <w:p w:rsidR="00A82498" w:rsidRDefault="00A82498" w:rsidP="00A82498">
      <w:pPr>
        <w:ind w:firstLine="709"/>
        <w:jc w:val="both"/>
      </w:pPr>
      <w:r>
        <w:t>В 2023 году подлежат в</w:t>
      </w:r>
      <w:r w:rsidRPr="00A82498">
        <w:t>озврат</w:t>
      </w:r>
      <w:r>
        <w:t>у</w:t>
      </w:r>
      <w:r w:rsidRPr="00A82498">
        <w:t xml:space="preserve"> прочи</w:t>
      </w:r>
      <w:r>
        <w:t>е</w:t>
      </w:r>
      <w:r w:rsidRPr="00A82498">
        <w:t xml:space="preserve"> остатк</w:t>
      </w:r>
      <w:r>
        <w:t>и</w:t>
      </w:r>
      <w:r w:rsidRPr="00A82498">
        <w:t xml:space="preserve"> субсидий, субвенций и иных межбюджетных трансфертов, имеющих целевое назначение, прошлых лет из бюджетов сельских поселений</w:t>
      </w:r>
      <w:r w:rsidRPr="00A82498">
        <w:tab/>
      </w:r>
      <w:r>
        <w:t xml:space="preserve"> в сумме 399,0 тыс. руб.</w:t>
      </w:r>
    </w:p>
    <w:p w:rsidR="00A82498" w:rsidRDefault="00A82498" w:rsidP="00A82498">
      <w:pPr>
        <w:ind w:firstLine="709"/>
        <w:jc w:val="center"/>
      </w:pPr>
    </w:p>
    <w:p w:rsidR="008F31B6" w:rsidRPr="00D34CF3" w:rsidRDefault="008F31B6" w:rsidP="00A82498">
      <w:pPr>
        <w:ind w:firstLine="709"/>
        <w:jc w:val="center"/>
        <w:rPr>
          <w:b/>
        </w:rPr>
      </w:pPr>
      <w:r w:rsidRPr="00D34CF3">
        <w:rPr>
          <w:b/>
        </w:rPr>
        <w:t>ДОХОДЫ</w:t>
      </w:r>
    </w:p>
    <w:p w:rsidR="00A82498" w:rsidRDefault="00A82498" w:rsidP="00A82498">
      <w:pPr>
        <w:ind w:firstLine="709"/>
        <w:jc w:val="both"/>
      </w:pPr>
      <w:r>
        <w:t>В 2023 году подлежат в</w:t>
      </w:r>
      <w:r w:rsidRPr="00A82498">
        <w:t>озврат</w:t>
      </w:r>
      <w:r>
        <w:t>у</w:t>
      </w:r>
      <w:r w:rsidRPr="00A82498">
        <w:t xml:space="preserve"> прочи</w:t>
      </w:r>
      <w:r>
        <w:t>е</w:t>
      </w:r>
      <w:r w:rsidRPr="00A82498">
        <w:t xml:space="preserve"> остатк</w:t>
      </w:r>
      <w:r>
        <w:t>и</w:t>
      </w:r>
      <w:r w:rsidRPr="00A82498">
        <w:t xml:space="preserve"> субсидий, субвенций и иных межбюджетных трансфертов, имеющих целевое назначение, прошлых лет из бюджетов сельских поселений</w:t>
      </w:r>
      <w:r w:rsidRPr="00A82498">
        <w:tab/>
      </w:r>
      <w:r>
        <w:t xml:space="preserve"> в сумме 399,0 тыс. руб.</w:t>
      </w:r>
    </w:p>
    <w:p w:rsidR="00A82498" w:rsidRDefault="00A82498" w:rsidP="00A82498">
      <w:pPr>
        <w:ind w:firstLine="709"/>
        <w:jc w:val="both"/>
      </w:pPr>
      <w:r>
        <w:t>Также произведено уменьшение п</w:t>
      </w:r>
      <w:r w:rsidRPr="00A82498">
        <w:t>рочи</w:t>
      </w:r>
      <w:r>
        <w:t>х</w:t>
      </w:r>
      <w:r w:rsidRPr="00A82498">
        <w:t xml:space="preserve"> безвозмездны</w:t>
      </w:r>
      <w:r>
        <w:t>х</w:t>
      </w:r>
      <w:r w:rsidRPr="00A82498">
        <w:t xml:space="preserve"> поступлени</w:t>
      </w:r>
      <w:r>
        <w:t>й</w:t>
      </w:r>
      <w:r w:rsidRPr="00A82498">
        <w:t xml:space="preserve"> в бюджеты сельских поселений от бюджетов муниципальных районов</w:t>
      </w:r>
      <w:r>
        <w:t xml:space="preserve"> на сумму 112,8 тыс. руб. (мероприятия муниципальной программы «Формирование современной городской среды на территории муниципального образования «Приволжский район») согласно уведомления о предоставлении межбюджетных трансфертов от 01.03.23г. №4/5.</w:t>
      </w:r>
      <w:r w:rsidRPr="00A82498">
        <w:tab/>
      </w:r>
      <w:r w:rsidRPr="00A82498">
        <w:tab/>
      </w:r>
      <w:r w:rsidRPr="00A82498">
        <w:tab/>
      </w:r>
    </w:p>
    <w:p w:rsidR="008F31B6" w:rsidRPr="00F64C8C" w:rsidRDefault="008F31B6" w:rsidP="008F31B6">
      <w:pPr>
        <w:ind w:firstLine="709"/>
        <w:jc w:val="both"/>
      </w:pPr>
    </w:p>
    <w:p w:rsidR="008F31B6" w:rsidRPr="00F64C8C" w:rsidRDefault="008F31B6" w:rsidP="00724FF1">
      <w:pPr>
        <w:pStyle w:val="a3"/>
        <w:ind w:left="0" w:firstLine="708"/>
        <w:jc w:val="both"/>
      </w:pPr>
      <w:r w:rsidRPr="00F64C8C">
        <w:t xml:space="preserve">Налоговые </w:t>
      </w:r>
      <w:r w:rsidR="005E2CC4">
        <w:t xml:space="preserve">и неналоговые </w:t>
      </w:r>
      <w:r w:rsidRPr="00F64C8C">
        <w:t xml:space="preserve">доходы на 2023 </w:t>
      </w:r>
      <w:proofErr w:type="gramStart"/>
      <w:r w:rsidRPr="00F64C8C">
        <w:t>год  в</w:t>
      </w:r>
      <w:proofErr w:type="gramEnd"/>
      <w:r w:rsidRPr="00F64C8C">
        <w:t xml:space="preserve"> общем объеме  увеличиваются на </w:t>
      </w:r>
      <w:r w:rsidR="005E2CC4">
        <w:t>301,3</w:t>
      </w:r>
      <w:r w:rsidRPr="00F64C8C">
        <w:t xml:space="preserve"> тыс. рублей за счет корректировки прогнозных назначений, исходя из фактического поступления и расчета ожидаемых поступлений до конца текущего финансового года:</w:t>
      </w:r>
    </w:p>
    <w:p w:rsidR="008F31B6" w:rsidRPr="00F64C8C" w:rsidRDefault="008F31B6" w:rsidP="008F31B6">
      <w:pPr>
        <w:ind w:firstLine="993"/>
      </w:pPr>
    </w:p>
    <w:p w:rsidR="008F31B6" w:rsidRDefault="008F31B6" w:rsidP="008F31B6">
      <w:pPr>
        <w:ind w:firstLine="993"/>
      </w:pPr>
      <w:r w:rsidRPr="00F64C8C">
        <w:t xml:space="preserve">НДФЛ – </w:t>
      </w:r>
      <w:r w:rsidR="00C5204E">
        <w:t>32,8</w:t>
      </w:r>
      <w:r w:rsidRPr="00F64C8C">
        <w:t xml:space="preserve"> тыс. рублей;</w:t>
      </w:r>
    </w:p>
    <w:p w:rsidR="005E2CC4" w:rsidRDefault="00D55369" w:rsidP="008F31B6">
      <w:pPr>
        <w:ind w:firstLine="993"/>
      </w:pPr>
      <w:r w:rsidRPr="00D55369">
        <w:t>Единый сельскохозяйственный налог</w:t>
      </w:r>
      <w:r>
        <w:t xml:space="preserve"> – </w:t>
      </w:r>
      <w:r w:rsidR="00C5204E">
        <w:t>260</w:t>
      </w:r>
      <w:r>
        <w:t>,0 тыс.</w:t>
      </w:r>
      <w:r w:rsidR="005E2CC4">
        <w:t xml:space="preserve"> </w:t>
      </w:r>
      <w:r>
        <w:t>рублей.</w:t>
      </w:r>
      <w:r w:rsidRPr="00D55369">
        <w:tab/>
      </w:r>
    </w:p>
    <w:p w:rsidR="00A82498" w:rsidRDefault="005E2CC4" w:rsidP="005E2CC4">
      <w:pPr>
        <w:ind w:firstLine="993"/>
        <w:jc w:val="both"/>
      </w:pPr>
      <w:r w:rsidRPr="005E2CC4"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>
        <w:t xml:space="preserve"> – 8,5 тыс. рублей.</w:t>
      </w:r>
      <w:r w:rsidR="00D55369" w:rsidRPr="00D55369">
        <w:tab/>
      </w:r>
    </w:p>
    <w:p w:rsidR="00A82498" w:rsidRDefault="00A82498" w:rsidP="005E2CC4">
      <w:pPr>
        <w:ind w:firstLine="993"/>
        <w:jc w:val="both"/>
      </w:pPr>
    </w:p>
    <w:p w:rsidR="0014345F" w:rsidRDefault="00A82498" w:rsidP="005E2CC4">
      <w:pPr>
        <w:ind w:firstLine="993"/>
        <w:jc w:val="both"/>
      </w:pPr>
      <w:r>
        <w:t>Итого доходная част</w:t>
      </w:r>
      <w:r w:rsidR="00C5204E">
        <w:t>ь снижается на общую сумму 210,5</w:t>
      </w:r>
      <w:r>
        <w:t xml:space="preserve"> тыс. рублей.</w:t>
      </w:r>
      <w:r w:rsidR="00D55369" w:rsidRPr="00D55369">
        <w:tab/>
      </w:r>
    </w:p>
    <w:p w:rsidR="008F31B6" w:rsidRPr="00F64C8C" w:rsidRDefault="008F31B6" w:rsidP="008F31B6">
      <w:pPr>
        <w:jc w:val="center"/>
        <w:rPr>
          <w:b/>
        </w:rPr>
      </w:pPr>
      <w:r w:rsidRPr="00F64C8C">
        <w:rPr>
          <w:b/>
        </w:rPr>
        <w:t>Налоговые доходы</w:t>
      </w:r>
    </w:p>
    <w:p w:rsidR="008F31B6" w:rsidRPr="00F64C8C" w:rsidRDefault="008F31B6" w:rsidP="008F31B6">
      <w:pPr>
        <w:jc w:val="center"/>
        <w:rPr>
          <w:u w:val="single"/>
        </w:rPr>
      </w:pPr>
      <w:r w:rsidRPr="00F64C8C">
        <w:rPr>
          <w:u w:val="single"/>
        </w:rPr>
        <w:t>Налог на доходы физических лиц</w:t>
      </w:r>
    </w:p>
    <w:p w:rsidR="008F31B6" w:rsidRPr="00F64C8C" w:rsidRDefault="008F31B6" w:rsidP="008F31B6">
      <w:pPr>
        <w:ind w:left="-567" w:firstLine="567"/>
      </w:pPr>
      <w:r w:rsidRPr="00F64C8C">
        <w:t xml:space="preserve">Фактические поступления за 2022 год по НДФЛ с доходов, источником которых является налоговый агент составили </w:t>
      </w:r>
      <w:r w:rsidR="00BE21CA" w:rsidRPr="00F64C8C">
        <w:t>372,4</w:t>
      </w:r>
      <w:r w:rsidRPr="00F64C8C">
        <w:t xml:space="preserve"> тыс. рублей, или </w:t>
      </w:r>
      <w:r w:rsidR="00724FF1" w:rsidRPr="00F64C8C">
        <w:t>119,85</w:t>
      </w:r>
      <w:r w:rsidR="00BE21CA" w:rsidRPr="00F64C8C">
        <w:t xml:space="preserve"> </w:t>
      </w:r>
      <w:r w:rsidRPr="00F64C8C">
        <w:t xml:space="preserve">% к уровню 2021 года. 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985"/>
      </w:tblGrid>
      <w:tr w:rsidR="008F31B6" w:rsidRPr="00F64C8C" w:rsidTr="00740102">
        <w:tc>
          <w:tcPr>
            <w:tcW w:w="3969" w:type="dxa"/>
            <w:shd w:val="clear" w:color="auto" w:fill="auto"/>
          </w:tcPr>
          <w:p w:rsidR="008F31B6" w:rsidRPr="00F64C8C" w:rsidRDefault="008F31B6" w:rsidP="00740102">
            <w:pPr>
              <w:jc w:val="center"/>
            </w:pPr>
            <w:r w:rsidRPr="00F64C8C"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8F31B6" w:rsidRPr="00F64C8C" w:rsidRDefault="008F31B6" w:rsidP="00740102">
            <w:pPr>
              <w:jc w:val="center"/>
            </w:pPr>
            <w:r w:rsidRPr="00F64C8C">
              <w:t>Факт 2021 года, тыс. руб.</w:t>
            </w:r>
          </w:p>
        </w:tc>
        <w:tc>
          <w:tcPr>
            <w:tcW w:w="1701" w:type="dxa"/>
            <w:shd w:val="clear" w:color="auto" w:fill="auto"/>
          </w:tcPr>
          <w:p w:rsidR="008F31B6" w:rsidRPr="00F64C8C" w:rsidRDefault="008F31B6" w:rsidP="00740102">
            <w:pPr>
              <w:jc w:val="center"/>
            </w:pPr>
            <w:r w:rsidRPr="00F64C8C">
              <w:t>Факт 2022 года, тыс. руб.</w:t>
            </w:r>
          </w:p>
        </w:tc>
        <w:tc>
          <w:tcPr>
            <w:tcW w:w="1985" w:type="dxa"/>
            <w:shd w:val="clear" w:color="auto" w:fill="auto"/>
          </w:tcPr>
          <w:p w:rsidR="008F31B6" w:rsidRPr="00F64C8C" w:rsidRDefault="008F31B6" w:rsidP="00740102">
            <w:pPr>
              <w:jc w:val="center"/>
            </w:pPr>
            <w:r w:rsidRPr="00F64C8C">
              <w:t xml:space="preserve">Темп роста 2022/ </w:t>
            </w:r>
            <w:proofErr w:type="gramStart"/>
            <w:r w:rsidRPr="00F64C8C">
              <w:t>2021,%</w:t>
            </w:r>
            <w:proofErr w:type="gramEnd"/>
          </w:p>
        </w:tc>
      </w:tr>
      <w:tr w:rsidR="008F31B6" w:rsidRPr="00F64C8C" w:rsidTr="00740102">
        <w:trPr>
          <w:trHeight w:val="1288"/>
        </w:trPr>
        <w:tc>
          <w:tcPr>
            <w:tcW w:w="3969" w:type="dxa"/>
            <w:shd w:val="clear" w:color="auto" w:fill="auto"/>
          </w:tcPr>
          <w:p w:rsidR="008F31B6" w:rsidRPr="00F64C8C" w:rsidRDefault="008F31B6" w:rsidP="00A82498">
            <w:r w:rsidRPr="00F64C8C">
              <w:t>НДФЛ с доходов, источником которых является налоговый агент</w:t>
            </w:r>
          </w:p>
        </w:tc>
        <w:tc>
          <w:tcPr>
            <w:tcW w:w="1701" w:type="dxa"/>
            <w:shd w:val="clear" w:color="auto" w:fill="auto"/>
          </w:tcPr>
          <w:p w:rsidR="008F31B6" w:rsidRPr="00F64C8C" w:rsidRDefault="00724FF1" w:rsidP="00740102">
            <w:pPr>
              <w:jc w:val="center"/>
            </w:pPr>
            <w:r w:rsidRPr="00F64C8C">
              <w:t>310,7</w:t>
            </w:r>
          </w:p>
        </w:tc>
        <w:tc>
          <w:tcPr>
            <w:tcW w:w="1701" w:type="dxa"/>
            <w:shd w:val="clear" w:color="auto" w:fill="auto"/>
          </w:tcPr>
          <w:p w:rsidR="008F31B6" w:rsidRPr="00F64C8C" w:rsidRDefault="00724FF1" w:rsidP="00740102">
            <w:pPr>
              <w:jc w:val="center"/>
            </w:pPr>
            <w:r w:rsidRPr="00F64C8C">
              <w:t>372,4</w:t>
            </w:r>
          </w:p>
        </w:tc>
        <w:tc>
          <w:tcPr>
            <w:tcW w:w="1985" w:type="dxa"/>
            <w:shd w:val="clear" w:color="auto" w:fill="auto"/>
          </w:tcPr>
          <w:p w:rsidR="008F31B6" w:rsidRPr="00F64C8C" w:rsidRDefault="00BE21CA" w:rsidP="00740102">
            <w:pPr>
              <w:jc w:val="center"/>
            </w:pPr>
            <w:r w:rsidRPr="00F64C8C">
              <w:t>119,85</w:t>
            </w:r>
          </w:p>
        </w:tc>
      </w:tr>
    </w:tbl>
    <w:p w:rsidR="008F31B6" w:rsidRPr="00F64C8C" w:rsidRDefault="008F31B6" w:rsidP="008F31B6"/>
    <w:p w:rsidR="008F31B6" w:rsidRDefault="008F31B6" w:rsidP="00BE21CA">
      <w:pPr>
        <w:ind w:left="-567" w:firstLine="567"/>
        <w:jc w:val="both"/>
      </w:pPr>
      <w:r w:rsidRPr="00F64C8C">
        <w:t xml:space="preserve">Учитывая сложившийся темп роста поступлений на 01.01.2023 года к аналогичному периоду прошлого года предлагается увеличить прогнозные назначения на 2023 год по налогу на доходы физических лиц на </w:t>
      </w:r>
      <w:r w:rsidR="00A82498">
        <w:t>32,8</w:t>
      </w:r>
      <w:r w:rsidR="00BE21CA" w:rsidRPr="00F64C8C">
        <w:t xml:space="preserve"> </w:t>
      </w:r>
      <w:r w:rsidRPr="00F64C8C">
        <w:t>тыс. рублей, в том числе:</w:t>
      </w:r>
    </w:p>
    <w:p w:rsidR="00F64C8C" w:rsidRPr="00F64C8C" w:rsidRDefault="00F64C8C" w:rsidP="00BE21CA">
      <w:pPr>
        <w:ind w:left="-567" w:firstLine="567"/>
        <w:jc w:val="both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560"/>
        <w:gridCol w:w="1701"/>
        <w:gridCol w:w="1842"/>
      </w:tblGrid>
      <w:tr w:rsidR="008F31B6" w:rsidRPr="00F64C8C" w:rsidTr="00740102">
        <w:tc>
          <w:tcPr>
            <w:tcW w:w="3544" w:type="dxa"/>
            <w:shd w:val="clear" w:color="auto" w:fill="auto"/>
          </w:tcPr>
          <w:p w:rsidR="008F31B6" w:rsidRPr="00F64C8C" w:rsidRDefault="008F31B6" w:rsidP="00740102">
            <w:pPr>
              <w:jc w:val="center"/>
            </w:pPr>
            <w:r w:rsidRPr="00F64C8C"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8F31B6" w:rsidRPr="00F64C8C" w:rsidRDefault="008F31B6" w:rsidP="00740102">
            <w:pPr>
              <w:jc w:val="center"/>
            </w:pPr>
            <w:r w:rsidRPr="00F64C8C">
              <w:t>План на 2023 год, тыс. руб.</w:t>
            </w:r>
          </w:p>
        </w:tc>
        <w:tc>
          <w:tcPr>
            <w:tcW w:w="1560" w:type="dxa"/>
            <w:shd w:val="clear" w:color="auto" w:fill="auto"/>
          </w:tcPr>
          <w:p w:rsidR="008F31B6" w:rsidRPr="00F64C8C" w:rsidRDefault="008F31B6" w:rsidP="00740102">
            <w:pPr>
              <w:jc w:val="center"/>
            </w:pPr>
            <w:r w:rsidRPr="00F64C8C">
              <w:t>Прогноз к уточнению, тыс. руб.</w:t>
            </w:r>
          </w:p>
        </w:tc>
        <w:tc>
          <w:tcPr>
            <w:tcW w:w="1701" w:type="dxa"/>
            <w:shd w:val="clear" w:color="auto" w:fill="auto"/>
          </w:tcPr>
          <w:p w:rsidR="008F31B6" w:rsidRPr="00F64C8C" w:rsidRDefault="008F31B6" w:rsidP="00740102">
            <w:pPr>
              <w:jc w:val="center"/>
            </w:pPr>
            <w:r w:rsidRPr="00F64C8C">
              <w:t>Примененный к факту 2022 года темп роста, %</w:t>
            </w:r>
          </w:p>
        </w:tc>
        <w:tc>
          <w:tcPr>
            <w:tcW w:w="1842" w:type="dxa"/>
            <w:shd w:val="clear" w:color="auto" w:fill="auto"/>
          </w:tcPr>
          <w:p w:rsidR="008F31B6" w:rsidRPr="00F64C8C" w:rsidRDefault="008F31B6" w:rsidP="00740102">
            <w:pPr>
              <w:jc w:val="center"/>
            </w:pPr>
            <w:r w:rsidRPr="00F64C8C">
              <w:t>Корректировка, тыс. руб.</w:t>
            </w:r>
          </w:p>
        </w:tc>
      </w:tr>
      <w:tr w:rsidR="008F31B6" w:rsidRPr="00F64C8C" w:rsidTr="00740102">
        <w:tc>
          <w:tcPr>
            <w:tcW w:w="3544" w:type="dxa"/>
            <w:shd w:val="clear" w:color="auto" w:fill="auto"/>
          </w:tcPr>
          <w:p w:rsidR="008F31B6" w:rsidRPr="00F64C8C" w:rsidRDefault="008F31B6" w:rsidP="00A82498">
            <w:r w:rsidRPr="00F64C8C">
              <w:t>НДФЛ с доходов, источником которых является налоговый агент</w:t>
            </w:r>
          </w:p>
        </w:tc>
        <w:tc>
          <w:tcPr>
            <w:tcW w:w="1559" w:type="dxa"/>
            <w:shd w:val="clear" w:color="auto" w:fill="auto"/>
          </w:tcPr>
          <w:p w:rsidR="008F31B6" w:rsidRPr="00F64C8C" w:rsidRDefault="00BE21CA" w:rsidP="00BE21CA">
            <w:pPr>
              <w:jc w:val="center"/>
            </w:pPr>
            <w:r w:rsidRPr="00F64C8C">
              <w:t>347,</w:t>
            </w:r>
            <w:r w:rsidR="008F31B6" w:rsidRPr="00F64C8C">
              <w:t>0</w:t>
            </w:r>
          </w:p>
        </w:tc>
        <w:tc>
          <w:tcPr>
            <w:tcW w:w="1560" w:type="dxa"/>
            <w:shd w:val="clear" w:color="auto" w:fill="auto"/>
          </w:tcPr>
          <w:p w:rsidR="008F31B6" w:rsidRPr="00F64C8C" w:rsidRDefault="00D4230A" w:rsidP="00740102">
            <w:pPr>
              <w:jc w:val="center"/>
            </w:pPr>
            <w:r>
              <w:t>379,8</w:t>
            </w:r>
          </w:p>
        </w:tc>
        <w:tc>
          <w:tcPr>
            <w:tcW w:w="1701" w:type="dxa"/>
            <w:shd w:val="clear" w:color="auto" w:fill="auto"/>
          </w:tcPr>
          <w:p w:rsidR="008F31B6" w:rsidRPr="00F64C8C" w:rsidRDefault="00C5204E" w:rsidP="00BE21CA">
            <w:pPr>
              <w:jc w:val="center"/>
            </w:pPr>
            <w:r>
              <w:t>109,4</w:t>
            </w:r>
          </w:p>
        </w:tc>
        <w:tc>
          <w:tcPr>
            <w:tcW w:w="1842" w:type="dxa"/>
            <w:shd w:val="clear" w:color="auto" w:fill="auto"/>
          </w:tcPr>
          <w:p w:rsidR="008F31B6" w:rsidRPr="00D55369" w:rsidRDefault="00D4230A" w:rsidP="00740102">
            <w:pPr>
              <w:jc w:val="center"/>
            </w:pPr>
            <w:r>
              <w:t>32,8</w:t>
            </w:r>
          </w:p>
        </w:tc>
      </w:tr>
    </w:tbl>
    <w:p w:rsidR="00F64C8C" w:rsidRPr="00F64C8C" w:rsidRDefault="00D55369" w:rsidP="008F31B6">
      <w:pPr>
        <w:jc w:val="center"/>
        <w:rPr>
          <w:u w:val="single"/>
        </w:rPr>
      </w:pPr>
      <w:r>
        <w:rPr>
          <w:u w:val="single"/>
        </w:rPr>
        <w:lastRenderedPageBreak/>
        <w:t>Единый сельскохозяйственный налог</w:t>
      </w:r>
    </w:p>
    <w:p w:rsidR="00F64C8C" w:rsidRDefault="00F64C8C" w:rsidP="008F31B6">
      <w:pPr>
        <w:jc w:val="center"/>
        <w:rPr>
          <w:u w:val="single"/>
        </w:rPr>
      </w:pPr>
    </w:p>
    <w:p w:rsidR="00F64C8C" w:rsidRPr="00F64C8C" w:rsidRDefault="00F64C8C" w:rsidP="00F64C8C">
      <w:pPr>
        <w:jc w:val="both"/>
      </w:pPr>
      <w:r w:rsidRPr="00F64C8C">
        <w:t xml:space="preserve">Основными условиями увеличения планового показателя </w:t>
      </w:r>
      <w:r w:rsidR="00D55369">
        <w:t>единого</w:t>
      </w:r>
      <w:r w:rsidR="00D55369" w:rsidRPr="00D55369">
        <w:t xml:space="preserve"> сельскохозяйственн</w:t>
      </w:r>
      <w:r w:rsidR="00D55369">
        <w:t>ого</w:t>
      </w:r>
      <w:r w:rsidR="00D55369" w:rsidRPr="00D55369">
        <w:t xml:space="preserve"> налог</w:t>
      </w:r>
      <w:r w:rsidR="00D55369">
        <w:t>а</w:t>
      </w:r>
      <w:r w:rsidRPr="00F64C8C">
        <w:t xml:space="preserve"> является </w:t>
      </w:r>
      <w:r w:rsidR="00D55369">
        <w:t xml:space="preserve">получение дохода от уплаты налога </w:t>
      </w:r>
      <w:r w:rsidR="00403813">
        <w:t xml:space="preserve">от </w:t>
      </w:r>
      <w:r w:rsidR="00D55369">
        <w:t>КФХ, зарегистрировавши</w:t>
      </w:r>
      <w:r w:rsidR="00403813">
        <w:t>х</w:t>
      </w:r>
      <w:r w:rsidR="00D55369">
        <w:t xml:space="preserve">ся на территории </w:t>
      </w:r>
      <w:r w:rsidR="00C5204E">
        <w:t xml:space="preserve">сельского </w:t>
      </w:r>
      <w:r w:rsidR="00D55369">
        <w:t>поселения</w:t>
      </w:r>
      <w:r w:rsidR="00C5204E">
        <w:t xml:space="preserve"> – в частности Главы КФХ Магомедова Магомеда </w:t>
      </w:r>
      <w:proofErr w:type="spellStart"/>
      <w:r w:rsidR="00C5204E">
        <w:t>Гаджиявдибировича</w:t>
      </w:r>
      <w:proofErr w:type="spellEnd"/>
      <w:r w:rsidR="00C5204E">
        <w:t>.</w:t>
      </w:r>
    </w:p>
    <w:p w:rsidR="00F64C8C" w:rsidRPr="00F64C8C" w:rsidRDefault="00F64C8C" w:rsidP="008F31B6">
      <w:pPr>
        <w:jc w:val="center"/>
        <w:rPr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560"/>
        <w:gridCol w:w="1842"/>
      </w:tblGrid>
      <w:tr w:rsidR="00F64C8C" w:rsidRPr="00F64C8C" w:rsidTr="00A82498">
        <w:tc>
          <w:tcPr>
            <w:tcW w:w="4395" w:type="dxa"/>
            <w:shd w:val="clear" w:color="auto" w:fill="auto"/>
          </w:tcPr>
          <w:p w:rsidR="00F64C8C" w:rsidRPr="00F64C8C" w:rsidRDefault="00F64C8C" w:rsidP="00E108AE">
            <w:pPr>
              <w:jc w:val="center"/>
            </w:pPr>
            <w:r w:rsidRPr="00F64C8C"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F64C8C" w:rsidRPr="00F64C8C" w:rsidRDefault="00F64C8C" w:rsidP="00E108AE">
            <w:pPr>
              <w:jc w:val="center"/>
            </w:pPr>
            <w:r w:rsidRPr="00F64C8C">
              <w:t>План на 2023 год, тыс. руб.</w:t>
            </w:r>
          </w:p>
        </w:tc>
        <w:tc>
          <w:tcPr>
            <w:tcW w:w="1560" w:type="dxa"/>
            <w:shd w:val="clear" w:color="auto" w:fill="auto"/>
          </w:tcPr>
          <w:p w:rsidR="00F64C8C" w:rsidRPr="00F64C8C" w:rsidRDefault="00F64C8C" w:rsidP="00E108AE">
            <w:pPr>
              <w:jc w:val="center"/>
            </w:pPr>
            <w:r w:rsidRPr="00F64C8C">
              <w:t>Прогноз к уточнению, тыс. руб.</w:t>
            </w:r>
          </w:p>
        </w:tc>
        <w:tc>
          <w:tcPr>
            <w:tcW w:w="1842" w:type="dxa"/>
            <w:shd w:val="clear" w:color="auto" w:fill="auto"/>
          </w:tcPr>
          <w:p w:rsidR="00F64C8C" w:rsidRPr="00F64C8C" w:rsidRDefault="00F64C8C" w:rsidP="00E108AE">
            <w:pPr>
              <w:jc w:val="center"/>
            </w:pPr>
            <w:r w:rsidRPr="00F64C8C">
              <w:t>Корректировка, тыс. руб.</w:t>
            </w:r>
          </w:p>
        </w:tc>
      </w:tr>
      <w:tr w:rsidR="00F64C8C" w:rsidRPr="00F64C8C" w:rsidTr="00A82498">
        <w:tc>
          <w:tcPr>
            <w:tcW w:w="4395" w:type="dxa"/>
            <w:shd w:val="clear" w:color="auto" w:fill="auto"/>
          </w:tcPr>
          <w:p w:rsidR="00F64C8C" w:rsidRPr="00F64C8C" w:rsidRDefault="00D55369" w:rsidP="00A82498">
            <w:r w:rsidRPr="00D55369">
              <w:t>Единый сельскохозяйственный налог</w:t>
            </w:r>
            <w:r w:rsidRPr="00D55369">
              <w:tab/>
            </w:r>
            <w:r w:rsidRPr="00D55369">
              <w:tab/>
            </w:r>
            <w:r w:rsidRPr="00D55369">
              <w:tab/>
            </w:r>
          </w:p>
        </w:tc>
        <w:tc>
          <w:tcPr>
            <w:tcW w:w="1559" w:type="dxa"/>
            <w:shd w:val="clear" w:color="auto" w:fill="auto"/>
          </w:tcPr>
          <w:p w:rsidR="00F64C8C" w:rsidRPr="00F64C8C" w:rsidRDefault="00D55369" w:rsidP="00F64C8C">
            <w:pPr>
              <w:jc w:val="center"/>
            </w:pPr>
            <w:r>
              <w:t>40,0</w:t>
            </w:r>
          </w:p>
        </w:tc>
        <w:tc>
          <w:tcPr>
            <w:tcW w:w="1560" w:type="dxa"/>
            <w:shd w:val="clear" w:color="auto" w:fill="auto"/>
          </w:tcPr>
          <w:p w:rsidR="00F64C8C" w:rsidRPr="00F64C8C" w:rsidRDefault="00403813" w:rsidP="00403813">
            <w:pPr>
              <w:jc w:val="center"/>
            </w:pPr>
            <w:r>
              <w:t>300</w:t>
            </w:r>
            <w:r w:rsidR="00D55369">
              <w:t>,0</w:t>
            </w:r>
          </w:p>
        </w:tc>
        <w:tc>
          <w:tcPr>
            <w:tcW w:w="1842" w:type="dxa"/>
            <w:shd w:val="clear" w:color="auto" w:fill="auto"/>
          </w:tcPr>
          <w:p w:rsidR="00F64C8C" w:rsidRPr="00F64C8C" w:rsidRDefault="00D55369" w:rsidP="00403813">
            <w:pPr>
              <w:jc w:val="center"/>
            </w:pPr>
            <w:r>
              <w:t>2</w:t>
            </w:r>
            <w:r w:rsidR="00403813">
              <w:t>6</w:t>
            </w:r>
            <w:r>
              <w:t>0,0</w:t>
            </w:r>
          </w:p>
        </w:tc>
      </w:tr>
    </w:tbl>
    <w:p w:rsidR="008F31B6" w:rsidRDefault="008F31B6" w:rsidP="00F64C8C"/>
    <w:p w:rsidR="00A66899" w:rsidRDefault="00A66899" w:rsidP="00A66899">
      <w:pPr>
        <w:jc w:val="center"/>
        <w:rPr>
          <w:u w:val="single"/>
        </w:rPr>
      </w:pPr>
      <w:r w:rsidRPr="00A66899">
        <w:rPr>
          <w:u w:val="single"/>
        </w:rPr>
        <w:t>Доходы от использования имущества, находящегося в государственной и муниципальной собственности</w:t>
      </w:r>
    </w:p>
    <w:p w:rsidR="00A66899" w:rsidRDefault="00A66899" w:rsidP="00A66899">
      <w:pPr>
        <w:jc w:val="center"/>
        <w:rPr>
          <w:u w:val="single"/>
        </w:rPr>
      </w:pPr>
    </w:p>
    <w:p w:rsidR="00A66899" w:rsidRPr="00A66899" w:rsidRDefault="00A66899" w:rsidP="00A66899">
      <w:pPr>
        <w:ind w:firstLine="851"/>
        <w:jc w:val="both"/>
      </w:pPr>
      <w:r w:rsidRPr="00A66899">
        <w:t>Основным показателем к увеличению доходов от использования имущества, находящегося в государственной и муниципальной собственности</w:t>
      </w:r>
      <w:r>
        <w:t xml:space="preserve"> является сдача в аренду помещения в доме культуры площадью 12 </w:t>
      </w:r>
      <w:proofErr w:type="spellStart"/>
      <w:r>
        <w:t>кв.м</w:t>
      </w:r>
      <w:proofErr w:type="spellEnd"/>
      <w:r>
        <w:t>. для проведения занятий английскому языку. Расчет арендной платы составлен согласно</w:t>
      </w:r>
      <w:r w:rsidRPr="00A66899">
        <w:t xml:space="preserve"> </w:t>
      </w:r>
      <w:r w:rsidRPr="00911239">
        <w:t>методик</w:t>
      </w:r>
      <w:r>
        <w:t>и</w:t>
      </w:r>
      <w:r w:rsidRPr="00911239">
        <w:t xml:space="preserve"> расчета платы за аренду муниципального имущества МО «Килинчинский сельсовет», утвержденной решением Совета муниципального образования «</w:t>
      </w:r>
      <w:r>
        <w:t>Килинчинский сельсовет» от 2</w:t>
      </w:r>
      <w:r w:rsidRPr="00911239">
        <w:t>4.10.2011 № 23а</w:t>
      </w:r>
      <w:r>
        <w:t>.</w:t>
      </w:r>
    </w:p>
    <w:p w:rsidR="00A66899" w:rsidRDefault="00A66899" w:rsidP="00A66899">
      <w:pPr>
        <w:jc w:val="center"/>
        <w:rPr>
          <w:u w:val="single"/>
        </w:rPr>
      </w:pPr>
    </w:p>
    <w:tbl>
      <w:tblPr>
        <w:tblW w:w="10140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9"/>
        <w:gridCol w:w="1559"/>
        <w:gridCol w:w="1560"/>
        <w:gridCol w:w="1842"/>
      </w:tblGrid>
      <w:tr w:rsidR="00A66899" w:rsidRPr="00F64C8C" w:rsidTr="00A82498">
        <w:tc>
          <w:tcPr>
            <w:tcW w:w="5179" w:type="dxa"/>
            <w:shd w:val="clear" w:color="auto" w:fill="auto"/>
          </w:tcPr>
          <w:p w:rsidR="00A66899" w:rsidRPr="00F64C8C" w:rsidRDefault="00A66899" w:rsidP="00477C08">
            <w:pPr>
              <w:jc w:val="center"/>
            </w:pPr>
            <w:r w:rsidRPr="00F64C8C"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A66899" w:rsidRPr="00F64C8C" w:rsidRDefault="00A66899" w:rsidP="00477C08">
            <w:pPr>
              <w:jc w:val="center"/>
            </w:pPr>
            <w:r w:rsidRPr="00F64C8C">
              <w:t>План на 2023 год, тыс. руб.</w:t>
            </w:r>
          </w:p>
        </w:tc>
        <w:tc>
          <w:tcPr>
            <w:tcW w:w="1560" w:type="dxa"/>
            <w:shd w:val="clear" w:color="auto" w:fill="auto"/>
          </w:tcPr>
          <w:p w:rsidR="00A66899" w:rsidRPr="00F64C8C" w:rsidRDefault="00A66899" w:rsidP="00477C08">
            <w:pPr>
              <w:jc w:val="center"/>
            </w:pPr>
            <w:r w:rsidRPr="00F64C8C">
              <w:t>Прогноз к уточнению, тыс. руб.</w:t>
            </w:r>
          </w:p>
        </w:tc>
        <w:tc>
          <w:tcPr>
            <w:tcW w:w="1842" w:type="dxa"/>
            <w:shd w:val="clear" w:color="auto" w:fill="auto"/>
          </w:tcPr>
          <w:p w:rsidR="00A66899" w:rsidRPr="00F64C8C" w:rsidRDefault="00A66899" w:rsidP="00477C08">
            <w:pPr>
              <w:jc w:val="center"/>
            </w:pPr>
            <w:r w:rsidRPr="00F64C8C">
              <w:t>Корректировка, тыс. руб.</w:t>
            </w:r>
          </w:p>
        </w:tc>
      </w:tr>
      <w:tr w:rsidR="00A66899" w:rsidRPr="00F64C8C" w:rsidTr="00A82498">
        <w:tc>
          <w:tcPr>
            <w:tcW w:w="5179" w:type="dxa"/>
            <w:shd w:val="clear" w:color="auto" w:fill="auto"/>
          </w:tcPr>
          <w:p w:rsidR="00A66899" w:rsidRPr="00F64C8C" w:rsidRDefault="00A66899" w:rsidP="00A82498">
            <w:r w:rsidRPr="00A66899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</w:t>
            </w:r>
            <w:r>
              <w:t>дений)</w:t>
            </w:r>
          </w:p>
        </w:tc>
        <w:tc>
          <w:tcPr>
            <w:tcW w:w="1559" w:type="dxa"/>
            <w:shd w:val="clear" w:color="auto" w:fill="auto"/>
          </w:tcPr>
          <w:p w:rsidR="00A66899" w:rsidRPr="00F64C8C" w:rsidRDefault="00A66899" w:rsidP="00477C08">
            <w:pPr>
              <w:jc w:val="center"/>
            </w:pPr>
            <w:r>
              <w:t>0,0</w:t>
            </w:r>
          </w:p>
        </w:tc>
        <w:tc>
          <w:tcPr>
            <w:tcW w:w="1560" w:type="dxa"/>
            <w:shd w:val="clear" w:color="auto" w:fill="auto"/>
          </w:tcPr>
          <w:p w:rsidR="00A66899" w:rsidRPr="00F64C8C" w:rsidRDefault="00A66899" w:rsidP="00477C08">
            <w:pPr>
              <w:jc w:val="center"/>
            </w:pPr>
            <w:r>
              <w:t>8,5</w:t>
            </w:r>
          </w:p>
        </w:tc>
        <w:tc>
          <w:tcPr>
            <w:tcW w:w="1842" w:type="dxa"/>
            <w:shd w:val="clear" w:color="auto" w:fill="auto"/>
          </w:tcPr>
          <w:p w:rsidR="00A66899" w:rsidRPr="00F64C8C" w:rsidRDefault="00A66899" w:rsidP="00477C08">
            <w:pPr>
              <w:jc w:val="center"/>
            </w:pPr>
            <w:r>
              <w:t>8,5</w:t>
            </w:r>
          </w:p>
        </w:tc>
      </w:tr>
    </w:tbl>
    <w:p w:rsidR="00A66899" w:rsidRPr="00A66899" w:rsidRDefault="00A66899" w:rsidP="00A66899">
      <w:pPr>
        <w:jc w:val="center"/>
        <w:rPr>
          <w:u w:val="single"/>
        </w:rPr>
      </w:pPr>
    </w:p>
    <w:p w:rsidR="00A66899" w:rsidRPr="00D34CF3" w:rsidRDefault="00A66899" w:rsidP="00A66899">
      <w:pPr>
        <w:jc w:val="center"/>
        <w:rPr>
          <w:b/>
        </w:rPr>
      </w:pPr>
      <w:r w:rsidRPr="00D34CF3">
        <w:rPr>
          <w:b/>
        </w:rPr>
        <w:t>РАСХОДЫ</w:t>
      </w:r>
    </w:p>
    <w:p w:rsidR="00A82498" w:rsidRDefault="00A82498" w:rsidP="00A66899">
      <w:pPr>
        <w:jc w:val="center"/>
      </w:pPr>
    </w:p>
    <w:p w:rsidR="00A66899" w:rsidRDefault="00A66899" w:rsidP="00A82498">
      <w:pPr>
        <w:ind w:firstLine="709"/>
        <w:jc w:val="both"/>
      </w:pPr>
      <w:r>
        <w:t>Бюджетные ассигнования по заработной плате с начислениями работникам бюджетной сферы</w:t>
      </w:r>
      <w:r w:rsidR="00220ED9">
        <w:t xml:space="preserve">, а также расходы на коммунальные услуги – </w:t>
      </w:r>
      <w:r>
        <w:t xml:space="preserve">предусмотрены в полном объеме. </w:t>
      </w:r>
    </w:p>
    <w:p w:rsidR="00A66899" w:rsidRDefault="00A66899" w:rsidP="00A82498">
      <w:pPr>
        <w:ind w:firstLine="709"/>
        <w:jc w:val="both"/>
      </w:pPr>
      <w:r>
        <w:t xml:space="preserve">Расходы бюджета увеличиваются на общую сумму </w:t>
      </w:r>
      <w:r w:rsidR="0039275D">
        <w:t>233,6</w:t>
      </w:r>
      <w:r>
        <w:t xml:space="preserve"> тыс.</w:t>
      </w:r>
      <w:r w:rsidR="00AA01BD">
        <w:t xml:space="preserve"> </w:t>
      </w:r>
      <w:r>
        <w:t>рублей</w:t>
      </w:r>
      <w:r w:rsidR="00D34CF3">
        <w:t>.</w:t>
      </w:r>
      <w:r w:rsidRPr="00A66899">
        <w:tab/>
      </w:r>
    </w:p>
    <w:p w:rsidR="00A66899" w:rsidRDefault="00A66899" w:rsidP="00A82498">
      <w:pPr>
        <w:ind w:firstLine="709"/>
      </w:pPr>
      <w:r>
        <w:t>Расходы предлагается уточнить по следующим направлениям:</w:t>
      </w:r>
    </w:p>
    <w:p w:rsidR="00A66899" w:rsidRDefault="00A66899" w:rsidP="00A82498">
      <w:pPr>
        <w:ind w:firstLine="709"/>
      </w:pPr>
      <w:r>
        <w:t xml:space="preserve">1.Увеличение расходов на общую сумму </w:t>
      </w:r>
      <w:r w:rsidR="00BA1CAC">
        <w:t xml:space="preserve">233,6 </w:t>
      </w:r>
      <w:r>
        <w:t>тыс.</w:t>
      </w:r>
      <w:r w:rsidR="00AA01BD">
        <w:t xml:space="preserve"> </w:t>
      </w:r>
      <w:r>
        <w:t>рублей, из них:</w:t>
      </w:r>
    </w:p>
    <w:p w:rsidR="00A66899" w:rsidRDefault="00A66899" w:rsidP="00A82498">
      <w:pPr>
        <w:ind w:firstLine="709"/>
      </w:pPr>
    </w:p>
    <w:p w:rsidR="00D34CF3" w:rsidRDefault="00977E6C" w:rsidP="00D34CF3">
      <w:pPr>
        <w:pStyle w:val="a3"/>
        <w:numPr>
          <w:ilvl w:val="0"/>
          <w:numId w:val="2"/>
        </w:numPr>
        <w:ind w:left="284"/>
      </w:pPr>
      <w:r w:rsidRPr="00977E6C">
        <w:t>Увеличение</w:t>
      </w:r>
      <w:r w:rsidR="000629C1">
        <w:t xml:space="preserve"> расходов подраздела 0801 «Культура» на сумму 128,8 </w:t>
      </w:r>
      <w:r w:rsidRPr="00977E6C">
        <w:t>тыс. руб.</w:t>
      </w:r>
      <w:r w:rsidR="000629C1">
        <w:t xml:space="preserve"> из </w:t>
      </w:r>
      <w:proofErr w:type="gramStart"/>
      <w:r w:rsidR="000629C1">
        <w:t>них:</w:t>
      </w:r>
      <w:r w:rsidR="00D34CF3">
        <w:t xml:space="preserve"> </w:t>
      </w:r>
      <w:r w:rsidRPr="00977E6C">
        <w:t xml:space="preserve"> </w:t>
      </w:r>
      <w:r w:rsidR="000629C1" w:rsidRPr="000629C1">
        <w:t>+</w:t>
      </w:r>
      <w:proofErr w:type="gramEnd"/>
      <w:r w:rsidR="000629C1" w:rsidRPr="000629C1">
        <w:t>1,8 тыс.</w:t>
      </w:r>
      <w:r w:rsidR="00A82498">
        <w:t xml:space="preserve"> </w:t>
      </w:r>
      <w:r w:rsidR="000629C1" w:rsidRPr="000629C1">
        <w:t xml:space="preserve">руб. на приобретение печати МКУК ЦК МО Килинчинский сельсовет                                             </w:t>
      </w:r>
    </w:p>
    <w:p w:rsidR="00D34CF3" w:rsidRDefault="00D34CF3" w:rsidP="00D34CF3">
      <w:pPr>
        <w:pStyle w:val="a3"/>
        <w:ind w:left="284" w:hanging="360"/>
      </w:pPr>
      <w:r>
        <w:t xml:space="preserve">      </w:t>
      </w:r>
      <w:r w:rsidR="000629C1" w:rsidRPr="000629C1">
        <w:t>+74,5 тыс.</w:t>
      </w:r>
      <w:r w:rsidR="00A82498">
        <w:t xml:space="preserve"> </w:t>
      </w:r>
      <w:r w:rsidR="000629C1" w:rsidRPr="000629C1">
        <w:t>руб. на оплату труда хореографа центра культуры                                                                  +21,0 тыс.</w:t>
      </w:r>
      <w:r w:rsidR="00A82498">
        <w:t xml:space="preserve"> </w:t>
      </w:r>
      <w:r w:rsidR="000629C1" w:rsidRPr="000629C1">
        <w:t xml:space="preserve">руб. на </w:t>
      </w:r>
      <w:r w:rsidR="00C20151">
        <w:t>оплату коммунальных услуг</w:t>
      </w:r>
      <w:r w:rsidR="000629C1" w:rsidRPr="000629C1">
        <w:t xml:space="preserve"> </w:t>
      </w:r>
      <w:r w:rsidR="00C20151">
        <w:t>(</w:t>
      </w:r>
      <w:r w:rsidR="000629C1" w:rsidRPr="000629C1">
        <w:t>постав</w:t>
      </w:r>
      <w:r w:rsidR="00C20151">
        <w:t>ки газа в доме культуры)</w:t>
      </w:r>
      <w:r w:rsidR="000629C1" w:rsidRPr="000629C1">
        <w:t xml:space="preserve">                  </w:t>
      </w:r>
      <w:r w:rsidR="00C20151">
        <w:t xml:space="preserve">                  </w:t>
      </w:r>
    </w:p>
    <w:p w:rsidR="00C231E6" w:rsidRDefault="00D34CF3" w:rsidP="00D34CF3">
      <w:pPr>
        <w:pStyle w:val="a3"/>
        <w:ind w:left="284" w:hanging="360"/>
      </w:pPr>
      <w:r>
        <w:t xml:space="preserve">     </w:t>
      </w:r>
      <w:r w:rsidR="000629C1" w:rsidRPr="000629C1">
        <w:t xml:space="preserve">+27,5 тыс. руб. на оплату </w:t>
      </w:r>
      <w:proofErr w:type="gramStart"/>
      <w:r w:rsidR="000629C1" w:rsidRPr="000629C1">
        <w:t>услуг  по</w:t>
      </w:r>
      <w:proofErr w:type="gramEnd"/>
      <w:r w:rsidR="000629C1" w:rsidRPr="000629C1">
        <w:t xml:space="preserve"> техническому обслуживанию,</w:t>
      </w:r>
      <w:r w:rsidR="000629C1">
        <w:t xml:space="preserve"> </w:t>
      </w:r>
      <w:r w:rsidR="00A82498">
        <w:t>аварийно-диспетчерскому</w:t>
      </w:r>
      <w:r w:rsidR="000629C1" w:rsidRPr="000629C1">
        <w:t xml:space="preserve"> обеспечению и работы по текущему ремонту газопроводов и газового оборудования                                             </w:t>
      </w:r>
      <w:r w:rsidR="00A82498">
        <w:t xml:space="preserve">                                                                                </w:t>
      </w:r>
      <w:r w:rsidR="000629C1" w:rsidRPr="000629C1">
        <w:t xml:space="preserve"> +4,0 тыс.</w:t>
      </w:r>
      <w:r w:rsidR="00A82498">
        <w:t xml:space="preserve"> </w:t>
      </w:r>
      <w:r w:rsidR="000629C1" w:rsidRPr="000629C1">
        <w:t xml:space="preserve">руб.  </w:t>
      </w:r>
      <w:proofErr w:type="gramStart"/>
      <w:r w:rsidR="000629C1" w:rsidRPr="000629C1">
        <w:t>оплату</w:t>
      </w:r>
      <w:proofErr w:type="gramEnd"/>
      <w:r w:rsidR="000629C1" w:rsidRPr="000629C1">
        <w:t xml:space="preserve"> работ по проверке сметной документации на выполнение работ по ремонту полов в доме культуры</w:t>
      </w:r>
    </w:p>
    <w:p w:rsidR="00D34CF3" w:rsidRDefault="00D34CF3" w:rsidP="00D37DDD">
      <w:pPr>
        <w:ind w:firstLine="709"/>
      </w:pPr>
    </w:p>
    <w:p w:rsidR="00D34CF3" w:rsidRDefault="00D34CF3" w:rsidP="00D34CF3">
      <w:pPr>
        <w:ind w:firstLine="709"/>
        <w:jc w:val="both"/>
      </w:pPr>
      <w:r>
        <w:lastRenderedPageBreak/>
        <w:t xml:space="preserve">Общая сумма увеличения бюджетных ассигновании подраздела 0503 «Благоустройство» на 91,6 тыс. руб. – </w:t>
      </w:r>
      <w:proofErr w:type="gramStart"/>
      <w:r>
        <w:t>в  частности</w:t>
      </w:r>
      <w:proofErr w:type="gramEnd"/>
      <w:r>
        <w:t>:</w:t>
      </w:r>
    </w:p>
    <w:p w:rsidR="00D37DDD" w:rsidRDefault="000629C1" w:rsidP="00D34CF3">
      <w:pPr>
        <w:ind w:firstLine="709"/>
      </w:pPr>
      <w:r w:rsidRPr="000629C1">
        <w:t xml:space="preserve">Увеличение </w:t>
      </w:r>
      <w:r>
        <w:t xml:space="preserve">расходов подраздела 0503 «Благоустройство» </w:t>
      </w:r>
      <w:r w:rsidR="00D37DDD">
        <w:t xml:space="preserve">на </w:t>
      </w:r>
      <w:r w:rsidR="00157969">
        <w:t xml:space="preserve">общую сумму </w:t>
      </w:r>
      <w:r w:rsidR="00D34CF3">
        <w:t>185,8</w:t>
      </w:r>
      <w:r w:rsidR="00157969">
        <w:t xml:space="preserve"> </w:t>
      </w:r>
      <w:proofErr w:type="spellStart"/>
      <w:r w:rsidR="00157969">
        <w:t>тыс.руб</w:t>
      </w:r>
      <w:proofErr w:type="spellEnd"/>
      <w:r w:rsidR="00157969">
        <w:t>. из них:</w:t>
      </w:r>
      <w:r w:rsidR="00D37DDD" w:rsidRPr="00D37DDD">
        <w:t xml:space="preserve">   </w:t>
      </w:r>
    </w:p>
    <w:p w:rsidR="00D34CF3" w:rsidRDefault="00D34CF3" w:rsidP="00D34CF3">
      <w:pPr>
        <w:pStyle w:val="a3"/>
        <w:numPr>
          <w:ilvl w:val="0"/>
          <w:numId w:val="1"/>
        </w:numPr>
      </w:pPr>
      <w:r w:rsidRPr="00D34CF3">
        <w:t xml:space="preserve">Увеличение +204,4 </w:t>
      </w:r>
      <w:proofErr w:type="spellStart"/>
      <w:r w:rsidRPr="00D34CF3">
        <w:t>тыс.руб</w:t>
      </w:r>
      <w:proofErr w:type="spellEnd"/>
      <w:r w:rsidRPr="00D34CF3">
        <w:t xml:space="preserve">. </w:t>
      </w:r>
      <w:proofErr w:type="gramStart"/>
      <w:r w:rsidRPr="00D34CF3">
        <w:t>из</w:t>
      </w:r>
      <w:proofErr w:type="gramEnd"/>
      <w:r w:rsidRPr="00D34CF3">
        <w:t xml:space="preserve"> них:                                                                                                                                                                                                                                                       +7,0 тыс. руб. </w:t>
      </w:r>
      <w:proofErr w:type="gramStart"/>
      <w:r w:rsidRPr="00D34CF3">
        <w:t>на</w:t>
      </w:r>
      <w:proofErr w:type="gramEnd"/>
      <w:r w:rsidRPr="00D34CF3">
        <w:t xml:space="preserve"> оплату работ по проверке сметной документации на выполнение работ по благоустройству в Парке Победы                                                                                                                                                                                                                                                          +20,0 </w:t>
      </w:r>
      <w:proofErr w:type="spellStart"/>
      <w:r w:rsidRPr="00D34CF3">
        <w:t>тыс.руб</w:t>
      </w:r>
      <w:proofErr w:type="spellEnd"/>
      <w:r w:rsidRPr="00D34CF3">
        <w:t xml:space="preserve"> на </w:t>
      </w:r>
      <w:proofErr w:type="spellStart"/>
      <w:r w:rsidRPr="00D34CF3">
        <w:t>пробретение</w:t>
      </w:r>
      <w:proofErr w:type="spellEnd"/>
      <w:r w:rsidRPr="00D34CF3">
        <w:t xml:space="preserve"> автомобильного бензина                                                                                                                                          +105,8 </w:t>
      </w:r>
      <w:proofErr w:type="spellStart"/>
      <w:r w:rsidRPr="00D34CF3">
        <w:t>тыс.руб</w:t>
      </w:r>
      <w:proofErr w:type="spellEnd"/>
      <w:r w:rsidRPr="00D34CF3">
        <w:t xml:space="preserve">. на  обустройство мест массового отдыха населения (обустройство резинового покрытия, освещения и видеонаблюдения в парке «Аллея Героев», расположенного по адресу: село Килинчи, ул. Нурмухамедова, 90 в)                                                                                                                                                     +71,6 </w:t>
      </w:r>
      <w:proofErr w:type="spellStart"/>
      <w:r w:rsidRPr="00D34CF3">
        <w:t>тыс.руб</w:t>
      </w:r>
      <w:proofErr w:type="spellEnd"/>
      <w:r w:rsidRPr="00D34CF3">
        <w:t>. на оплату работ по уборке территории (договоры подряда)</w:t>
      </w:r>
      <w:r>
        <w:t>.</w:t>
      </w:r>
    </w:p>
    <w:p w:rsidR="00D34CF3" w:rsidRDefault="00D34CF3" w:rsidP="00D37DDD">
      <w:r w:rsidRPr="00D34CF3">
        <w:t xml:space="preserve">  </w:t>
      </w:r>
    </w:p>
    <w:p w:rsidR="00D34CF3" w:rsidRDefault="00D34CF3" w:rsidP="00D34CF3">
      <w:pPr>
        <w:pStyle w:val="a3"/>
        <w:numPr>
          <w:ilvl w:val="0"/>
          <w:numId w:val="1"/>
        </w:numPr>
      </w:pPr>
      <w:r w:rsidRPr="00D34CF3">
        <w:t xml:space="preserve">Уменьшение -18,6 </w:t>
      </w:r>
      <w:proofErr w:type="spellStart"/>
      <w:r w:rsidRPr="00D34CF3">
        <w:t>тыс.руб</w:t>
      </w:r>
      <w:proofErr w:type="spellEnd"/>
      <w:r w:rsidRPr="00D34CF3">
        <w:t xml:space="preserve">. с </w:t>
      </w:r>
      <w:proofErr w:type="spellStart"/>
      <w:r w:rsidRPr="00D34CF3">
        <w:t>подр</w:t>
      </w:r>
      <w:proofErr w:type="spellEnd"/>
      <w:r w:rsidRPr="00D34CF3">
        <w:t>. 0503 на корректировку ассигнований целевой программы Формирование комфортной городской среды</w:t>
      </w:r>
      <w:r w:rsidRPr="00D34CF3">
        <w:t xml:space="preserve">     </w:t>
      </w:r>
    </w:p>
    <w:p w:rsidR="00157969" w:rsidRDefault="00D34CF3" w:rsidP="00D37DDD">
      <w:r w:rsidRPr="00D34CF3">
        <w:t xml:space="preserve"> </w:t>
      </w:r>
      <w:r>
        <w:t xml:space="preserve">                 </w:t>
      </w:r>
      <w:bookmarkStart w:id="0" w:name="_GoBack"/>
      <w:bookmarkEnd w:id="0"/>
      <w:r w:rsidRPr="00D34CF3">
        <w:t xml:space="preserve">                                                </w:t>
      </w:r>
    </w:p>
    <w:p w:rsidR="00157969" w:rsidRDefault="00D34CF3" w:rsidP="00157969">
      <w:pPr>
        <w:jc w:val="both"/>
      </w:pPr>
      <w:r>
        <w:t>О</w:t>
      </w:r>
      <w:r w:rsidR="00157969">
        <w:t>бщая сумма уменьшения расходов по м</w:t>
      </w:r>
      <w:r w:rsidR="00157969" w:rsidRPr="00157969">
        <w:t>униципальн</w:t>
      </w:r>
      <w:r w:rsidR="00157969">
        <w:t>ой</w:t>
      </w:r>
      <w:r w:rsidR="00157969" w:rsidRPr="00157969">
        <w:t xml:space="preserve"> программ</w:t>
      </w:r>
      <w:r w:rsidR="00157969">
        <w:t>е</w:t>
      </w:r>
      <w:r w:rsidR="00157969" w:rsidRPr="00157969">
        <w:t xml:space="preserve"> "Формирование современной городской среды на территории муниципального образования "Сельское поселение Килинчинский сельсовет Приволжского муниципального района Астраханской области"</w:t>
      </w:r>
      <w:r>
        <w:t xml:space="preserve"> </w:t>
      </w:r>
      <w:r>
        <w:t xml:space="preserve">-94,2 </w:t>
      </w:r>
      <w:proofErr w:type="spellStart"/>
      <w:r>
        <w:t>тыс.руб</w:t>
      </w:r>
      <w:proofErr w:type="spellEnd"/>
      <w:r>
        <w:t xml:space="preserve">, а именно: уменьшение </w:t>
      </w:r>
      <w:r w:rsidR="00157969">
        <w:t xml:space="preserve">-112,8 </w:t>
      </w:r>
      <w:proofErr w:type="spellStart"/>
      <w:r w:rsidR="00157969">
        <w:t>тыс.руб</w:t>
      </w:r>
      <w:proofErr w:type="spellEnd"/>
      <w:r w:rsidR="00157969">
        <w:t xml:space="preserve">. согласно уведомлению о МБТ от 01.03.23 №4/5 и </w:t>
      </w:r>
      <w:r>
        <w:t xml:space="preserve">увеличение </w:t>
      </w:r>
      <w:r w:rsidR="00157969">
        <w:t xml:space="preserve">+18,6 </w:t>
      </w:r>
      <w:proofErr w:type="spellStart"/>
      <w:r w:rsidR="00157969">
        <w:t>тыс.руб</w:t>
      </w:r>
      <w:proofErr w:type="spellEnd"/>
      <w:r w:rsidR="00157969">
        <w:t xml:space="preserve">. </w:t>
      </w:r>
      <w:r>
        <w:t>(</w:t>
      </w:r>
      <w:r w:rsidR="00157969">
        <w:t>перемещение с подраздела 0503 «Благоустройство» из общей суммы ассигнований подраздела).</w:t>
      </w:r>
      <w:r w:rsidR="00157969" w:rsidRPr="00157969">
        <w:tab/>
      </w:r>
      <w:r w:rsidR="00157969" w:rsidRPr="00157969">
        <w:tab/>
      </w:r>
      <w:r w:rsidR="00157969" w:rsidRPr="00157969">
        <w:tab/>
      </w:r>
      <w:r w:rsidR="00157969" w:rsidRPr="00157969">
        <w:tab/>
      </w:r>
      <w:r w:rsidR="00157969" w:rsidRPr="00157969">
        <w:tab/>
      </w:r>
      <w:r w:rsidR="00157969" w:rsidRPr="00157969">
        <w:tab/>
      </w:r>
      <w:r w:rsidR="00157969" w:rsidRPr="00157969">
        <w:tab/>
      </w:r>
      <w:r w:rsidR="00157969" w:rsidRPr="00157969">
        <w:tab/>
      </w:r>
      <w:r w:rsidR="00157969" w:rsidRPr="00157969">
        <w:tab/>
      </w:r>
    </w:p>
    <w:p w:rsidR="000629C1" w:rsidRPr="00D37DDD" w:rsidRDefault="00D37DDD" w:rsidP="00157969">
      <w:pPr>
        <w:jc w:val="both"/>
      </w:pPr>
      <w:r>
        <w:t xml:space="preserve">             </w:t>
      </w:r>
      <w:r w:rsidR="000629C1" w:rsidRPr="000629C1">
        <w:t>Увеличение расходов подраздела 0310 «</w:t>
      </w:r>
      <w:r w:rsidR="000629C1" w:rsidRPr="000629C1">
        <w:rPr>
          <w:sz w:val="22"/>
          <w:szCs w:val="22"/>
        </w:rPr>
        <w:t xml:space="preserve">Обеспечение пожарной безопасности» на </w:t>
      </w:r>
      <w:r w:rsidR="00157969">
        <w:rPr>
          <w:sz w:val="22"/>
          <w:szCs w:val="22"/>
        </w:rPr>
        <w:t xml:space="preserve">общую </w:t>
      </w:r>
      <w:r w:rsidR="000629C1" w:rsidRPr="000629C1">
        <w:rPr>
          <w:sz w:val="22"/>
          <w:szCs w:val="22"/>
        </w:rPr>
        <w:t>сумму 8,0 тыс. рублей для оплаты услуг по техническому обслуживанию систем пожарной безопасности за декабрь 2022 года.</w:t>
      </w:r>
    </w:p>
    <w:p w:rsidR="000629C1" w:rsidRDefault="000629C1" w:rsidP="00A82498">
      <w:pPr>
        <w:ind w:firstLine="709"/>
        <w:jc w:val="both"/>
      </w:pPr>
      <w:r>
        <w:t>Увеличением расходов подраздела 0113 «</w:t>
      </w:r>
      <w:r w:rsidRPr="000629C1">
        <w:t>Общегосударственные вопросы</w:t>
      </w:r>
      <w:r>
        <w:t xml:space="preserve">» на общую сумму </w:t>
      </w:r>
      <w:r w:rsidR="00157969">
        <w:t>5</w:t>
      </w:r>
      <w:r w:rsidR="00D34CF3">
        <w:t>0</w:t>
      </w:r>
      <w:r w:rsidR="00157969">
        <w:t>,</w:t>
      </w:r>
      <w:r w:rsidR="00A82498">
        <w:t>2</w:t>
      </w:r>
      <w:r>
        <w:t xml:space="preserve"> тыс. руб. (перемещение с подраздела 0111 «Резервные фонды» 45,0 тыс. руб. и увеличение на сумму 5,2 тыс.</w:t>
      </w:r>
      <w:r w:rsidR="00A82498">
        <w:t xml:space="preserve"> </w:t>
      </w:r>
      <w:r>
        <w:t>руб</w:t>
      </w:r>
      <w:r w:rsidR="00D13460">
        <w:t>.</w:t>
      </w:r>
      <w:r>
        <w:t>) из них:</w:t>
      </w:r>
    </w:p>
    <w:p w:rsidR="00C20151" w:rsidRDefault="00A82498" w:rsidP="00A82498">
      <w:pPr>
        <w:jc w:val="both"/>
      </w:pPr>
      <w:r w:rsidRPr="00A82498">
        <w:t>+</w:t>
      </w:r>
      <w:r>
        <w:t xml:space="preserve"> </w:t>
      </w:r>
      <w:r w:rsidRPr="00A82498">
        <w:t>20,2 тыс.</w:t>
      </w:r>
      <w:r>
        <w:t xml:space="preserve"> </w:t>
      </w:r>
      <w:r w:rsidRPr="00A82498">
        <w:t xml:space="preserve">руб. на </w:t>
      </w:r>
      <w:r w:rsidR="00A178C8">
        <w:t>оплату коммунальных услуг</w:t>
      </w:r>
      <w:r w:rsidRPr="00A82498">
        <w:t xml:space="preserve"> </w:t>
      </w:r>
      <w:r w:rsidR="00A178C8">
        <w:t>(</w:t>
      </w:r>
      <w:r w:rsidRPr="00A82498">
        <w:t>поставк</w:t>
      </w:r>
      <w:r w:rsidR="00A178C8">
        <w:t>а</w:t>
      </w:r>
      <w:r w:rsidRPr="00A82498">
        <w:t xml:space="preserve"> газа</w:t>
      </w:r>
      <w:r>
        <w:t xml:space="preserve"> в здании администрации</w:t>
      </w:r>
      <w:r w:rsidR="00C20151">
        <w:t>)</w:t>
      </w:r>
      <w:r w:rsidRPr="00A82498">
        <w:t xml:space="preserve"> </w:t>
      </w:r>
      <w:r w:rsidR="00C20151">
        <w:t xml:space="preserve">    </w:t>
      </w:r>
    </w:p>
    <w:p w:rsidR="000629C1" w:rsidRDefault="00C20151" w:rsidP="00A82498">
      <w:pPr>
        <w:jc w:val="both"/>
      </w:pPr>
      <w:r>
        <w:t xml:space="preserve">+ </w:t>
      </w:r>
      <w:r w:rsidR="00A82498" w:rsidRPr="00A82498">
        <w:t xml:space="preserve">30,0 тыс. руб. </w:t>
      </w:r>
      <w:r w:rsidR="00A178C8">
        <w:t>на оплату</w:t>
      </w:r>
      <w:r w:rsidR="00A82498" w:rsidRPr="00A82498">
        <w:t xml:space="preserve"> ус</w:t>
      </w:r>
      <w:r>
        <w:t>луг связи и Интернет.</w:t>
      </w:r>
    </w:p>
    <w:p w:rsidR="000629C1" w:rsidRDefault="00C231E6" w:rsidP="00A82498">
      <w:pPr>
        <w:ind w:firstLine="709"/>
      </w:pPr>
      <w:r w:rsidRPr="00C231E6">
        <w:tab/>
      </w:r>
      <w:r w:rsidR="00A82498">
        <w:t xml:space="preserve"> </w:t>
      </w:r>
      <w:r w:rsidRPr="00C231E6">
        <w:tab/>
      </w:r>
      <w:r w:rsidRPr="00C231E6">
        <w:tab/>
      </w:r>
      <w:r w:rsidRPr="00C231E6">
        <w:tab/>
      </w:r>
      <w:r w:rsidRPr="00C231E6">
        <w:tab/>
      </w:r>
      <w:r w:rsidRPr="00C231E6">
        <w:tab/>
      </w:r>
      <w:r w:rsidRPr="00C231E6">
        <w:tab/>
      </w:r>
      <w:r w:rsidRPr="00C231E6">
        <w:tab/>
      </w:r>
    </w:p>
    <w:p w:rsidR="00A66899" w:rsidRDefault="00A66899" w:rsidP="00D34CF3">
      <w:pPr>
        <w:ind w:firstLine="709"/>
      </w:pPr>
      <w:r>
        <w:t xml:space="preserve">Сведения о муниципальных заимствованиях и предоставлении бюджетных кредитов по состоянию </w:t>
      </w:r>
      <w:proofErr w:type="gramStart"/>
      <w:r>
        <w:t xml:space="preserve">на  </w:t>
      </w:r>
      <w:r w:rsidR="00AA01BD">
        <w:t>1</w:t>
      </w:r>
      <w:r w:rsidR="00977E6C">
        <w:t>7</w:t>
      </w:r>
      <w:r>
        <w:t>.0</w:t>
      </w:r>
      <w:r w:rsidR="00AA01BD">
        <w:t>3</w:t>
      </w:r>
      <w:r>
        <w:t>.2023</w:t>
      </w:r>
      <w:proofErr w:type="gramEnd"/>
      <w:r>
        <w:t xml:space="preserve"> года</w:t>
      </w:r>
    </w:p>
    <w:p w:rsidR="00A66899" w:rsidRDefault="00A66899" w:rsidP="00A82498">
      <w:pPr>
        <w:ind w:firstLine="709"/>
      </w:pPr>
    </w:p>
    <w:p w:rsidR="00A66899" w:rsidRDefault="00A66899" w:rsidP="00A82498">
      <w:pPr>
        <w:ind w:firstLine="709"/>
        <w:jc w:val="both"/>
      </w:pPr>
      <w:r>
        <w:t xml:space="preserve">Погашение бюджетного кредита в 2023 году предусмотрено в объеме </w:t>
      </w:r>
      <w:r w:rsidR="00AA01BD">
        <w:t>62,0</w:t>
      </w:r>
      <w:r>
        <w:t xml:space="preserve"> тыс. рублей.</w:t>
      </w:r>
    </w:p>
    <w:p w:rsidR="00A66899" w:rsidRDefault="00A66899" w:rsidP="00A82498">
      <w:pPr>
        <w:ind w:firstLine="709"/>
        <w:jc w:val="both"/>
      </w:pPr>
      <w:r>
        <w:t>Кредиты коммерческих банков и бюд</w:t>
      </w:r>
      <w:r w:rsidR="00AA01BD">
        <w:t>жетные кредиты по состоянию на 1</w:t>
      </w:r>
      <w:r w:rsidR="00977E6C">
        <w:t>7</w:t>
      </w:r>
      <w:r>
        <w:t>.0</w:t>
      </w:r>
      <w:r w:rsidR="00AA01BD">
        <w:t>3</w:t>
      </w:r>
      <w:r>
        <w:t>.2023 г. в бюджет района не привлекались.</w:t>
      </w:r>
    </w:p>
    <w:p w:rsidR="00A66899" w:rsidRDefault="00AA01BD" w:rsidP="00A82498">
      <w:pPr>
        <w:ind w:firstLine="709"/>
        <w:jc w:val="both"/>
      </w:pPr>
      <w:r>
        <w:t>Муниципальный долг на 1</w:t>
      </w:r>
      <w:r w:rsidR="00977E6C">
        <w:t>7</w:t>
      </w:r>
      <w:r w:rsidR="00A66899">
        <w:t>.0</w:t>
      </w:r>
      <w:r>
        <w:t>3</w:t>
      </w:r>
      <w:r w:rsidR="00A66899">
        <w:t xml:space="preserve">.2022 года составляет </w:t>
      </w:r>
      <w:r>
        <w:t>62,0</w:t>
      </w:r>
      <w:r w:rsidR="00A66899">
        <w:t xml:space="preserve"> тыс. рублей.</w:t>
      </w:r>
    </w:p>
    <w:p w:rsidR="004E1652" w:rsidRDefault="004E1652" w:rsidP="00A82498">
      <w:pPr>
        <w:ind w:firstLine="709"/>
      </w:pPr>
    </w:p>
    <w:p w:rsidR="00A82498" w:rsidRDefault="00D34CF3" w:rsidP="00A82498">
      <w:pPr>
        <w:ind w:firstLine="70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9D7CD5" wp14:editId="74CAC993">
            <wp:simplePos x="0" y="0"/>
            <wp:positionH relativeFrom="column">
              <wp:posOffset>2691765</wp:posOffset>
            </wp:positionH>
            <wp:positionV relativeFrom="paragraph">
              <wp:posOffset>467995</wp:posOffset>
            </wp:positionV>
            <wp:extent cx="1209675" cy="600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2-22_08-51-20_winscan_to_pdf_1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028" b="88889" l="0" r="100000">
                                  <a14:foregroundMark x1="51890" y1="66667" x2="86598" y2="4930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98">
        <w:t>Дефицит бюджета сформирован из остатков средств на начало года в сумме 444,1 тыс. рублей</w:t>
      </w:r>
      <w:r w:rsidR="004E1652">
        <w:t xml:space="preserve">, </w:t>
      </w:r>
      <w:r w:rsidR="00A178C8">
        <w:t>в том числе суммы</w:t>
      </w:r>
      <w:r w:rsidR="004E1652">
        <w:t xml:space="preserve"> бюджетного кредита – 62,0 тыс. рублей. Общий дефицит бюджета составит 382,1 тыс. рублей.</w:t>
      </w:r>
    </w:p>
    <w:p w:rsidR="00BE1E80" w:rsidRDefault="00BE1E80" w:rsidP="00A82498">
      <w:pPr>
        <w:ind w:firstLine="709"/>
      </w:pPr>
    </w:p>
    <w:p w:rsidR="00BE1E80" w:rsidRDefault="00BE1E80" w:rsidP="00A82498">
      <w:pPr>
        <w:ind w:firstLine="709"/>
      </w:pPr>
      <w:r>
        <w:t>Глава администрации                                                                      Л.А. Ахмедова</w:t>
      </w:r>
    </w:p>
    <w:p w:rsidR="00BE1E80" w:rsidRDefault="00BE1E80" w:rsidP="00A82498">
      <w:pPr>
        <w:ind w:firstLine="709"/>
      </w:pPr>
    </w:p>
    <w:p w:rsidR="00BE1E80" w:rsidRDefault="00BE1E80" w:rsidP="00A82498">
      <w:pPr>
        <w:ind w:firstLine="709"/>
      </w:pPr>
    </w:p>
    <w:p w:rsidR="00BE1E80" w:rsidRDefault="00BE1E80" w:rsidP="00A82498">
      <w:pPr>
        <w:ind w:firstLine="709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DBCC18" wp14:editId="0B31558A">
            <wp:simplePos x="0" y="0"/>
            <wp:positionH relativeFrom="column">
              <wp:posOffset>2748915</wp:posOffset>
            </wp:positionH>
            <wp:positionV relativeFrom="paragraph">
              <wp:posOffset>37465</wp:posOffset>
            </wp:positionV>
            <wp:extent cx="1064260" cy="92075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пись гл бух.bmp"/>
                    <pic:cNvPicPr/>
                  </pic:nvPicPr>
                  <pic:blipFill rotWithShape="1"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0"/>
                    <a:stretch/>
                  </pic:blipFill>
                  <pic:spPr bwMode="auto">
                    <a:xfrm>
                      <a:off x="0" y="0"/>
                      <a:ext cx="1064260" cy="92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E80" w:rsidRPr="00F64C8C" w:rsidRDefault="00BE1E80" w:rsidP="00A82498">
      <w:pPr>
        <w:ind w:firstLine="709"/>
      </w:pPr>
      <w:r>
        <w:t>Главный бухгалтер                                                                          А.П. Шарапова</w:t>
      </w:r>
    </w:p>
    <w:sectPr w:rsidR="00BE1E80" w:rsidRPr="00F64C8C" w:rsidSect="00CD258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82D2B"/>
    <w:multiLevelType w:val="hybridMultilevel"/>
    <w:tmpl w:val="FF620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672FF"/>
    <w:multiLevelType w:val="hybridMultilevel"/>
    <w:tmpl w:val="042C4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7"/>
    <w:rsid w:val="000629C1"/>
    <w:rsid w:val="0013382B"/>
    <w:rsid w:val="0014345F"/>
    <w:rsid w:val="00157969"/>
    <w:rsid w:val="00220ED9"/>
    <w:rsid w:val="00233564"/>
    <w:rsid w:val="003045D7"/>
    <w:rsid w:val="0039275D"/>
    <w:rsid w:val="004013A9"/>
    <w:rsid w:val="00403813"/>
    <w:rsid w:val="004C5903"/>
    <w:rsid w:val="004E1652"/>
    <w:rsid w:val="005E2CC4"/>
    <w:rsid w:val="006F7787"/>
    <w:rsid w:val="00724FF1"/>
    <w:rsid w:val="007546B0"/>
    <w:rsid w:val="007B0223"/>
    <w:rsid w:val="00811E01"/>
    <w:rsid w:val="00892294"/>
    <w:rsid w:val="008F31B6"/>
    <w:rsid w:val="00977E6C"/>
    <w:rsid w:val="009B6482"/>
    <w:rsid w:val="00A178C8"/>
    <w:rsid w:val="00A66899"/>
    <w:rsid w:val="00A82498"/>
    <w:rsid w:val="00AA01BD"/>
    <w:rsid w:val="00BA1CAC"/>
    <w:rsid w:val="00BE1E80"/>
    <w:rsid w:val="00BE21CA"/>
    <w:rsid w:val="00C20151"/>
    <w:rsid w:val="00C214C9"/>
    <w:rsid w:val="00C231E6"/>
    <w:rsid w:val="00C5204E"/>
    <w:rsid w:val="00CD258F"/>
    <w:rsid w:val="00D13460"/>
    <w:rsid w:val="00D231C4"/>
    <w:rsid w:val="00D34CF3"/>
    <w:rsid w:val="00D37DDD"/>
    <w:rsid w:val="00D4230A"/>
    <w:rsid w:val="00D55369"/>
    <w:rsid w:val="00D72A14"/>
    <w:rsid w:val="00DC1008"/>
    <w:rsid w:val="00E6099F"/>
    <w:rsid w:val="00F64C8C"/>
    <w:rsid w:val="00F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E0102-A2AF-4FB9-8167-38CAA3DA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1B6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811E0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811E01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17</cp:revision>
  <cp:lastPrinted>2023-03-28T06:43:00Z</cp:lastPrinted>
  <dcterms:created xsi:type="dcterms:W3CDTF">2023-03-17T11:27:00Z</dcterms:created>
  <dcterms:modified xsi:type="dcterms:W3CDTF">2023-03-28T06:44:00Z</dcterms:modified>
</cp:coreProperties>
</file>